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Times New Roman" w:hAnsi="Times New Roman"/>
          <w:b/>
          <w:i w:val="0"/>
          <w:color w:val="000000"/>
          <w:sz w:val="48"/>
        </w:rPr>
        <w:t>AI-Assisted Financial Risk Profiling and Personalized Investment Decision Support: A Tool-Orchestrated Agent with Provenance-Aware Retrieval</w:t>
      </w:r>
    </w:p>
    <w:p>
      <w:pPr>
        <w:spacing w:before="0" w:after="40" w:line="240" w:lineRule="auto"/>
        <w:jc w:val="center"/>
      </w:pPr>
      <w:r>
        <w:rPr>
          <w:rFonts w:ascii="Times New Roman" w:hAnsi="Times New Roman"/>
          <w:b w:val="0"/>
          <w:i w:val="0"/>
          <w:color w:val="000000"/>
          <w:sz w:val="22"/>
        </w:rPr>
        <w:t>[Author Name 1], [Author Name 2], [Author Name 3]</w:t>
      </w:r>
    </w:p>
    <w:p>
      <w:pPr>
        <w:spacing w:before="0" w:after="280" w:line="240" w:lineRule="auto"/>
        <w:jc w:val="center"/>
      </w:pPr>
      <w:r>
        <w:rPr>
          <w:rFonts w:ascii="Times New Roman" w:hAnsi="Times New Roman"/>
          <w:b w:val="0"/>
          <w:i w:val="0"/>
          <w:color w:val="000000"/>
          <w:sz w:val="20"/>
        </w:rPr>
        <w:t>Department of Business Administration</w:t>
        <w:br/>
        <w:t>Auxilium College (Autonomous), Vellore, Tamil Nadu, India</w:t>
        <w:br/>
        <w:t>[author.email]@auxiliumcollege.edu.in</w:t>
      </w:r>
    </w:p>
    <w:p>
      <w:pPr>
        <w:spacing w:before="0" w:after="280" w:line="240" w:lineRule="auto"/>
        <w:jc w:val="center"/>
      </w:pPr>
      <w:r>
        <w:rPr>
          <w:rFonts w:ascii="Times New Roman" w:hAnsi="Times New Roman"/>
          <w:b w:val="0"/>
          <w:i/>
          <w:color w:val="000000"/>
          <w:sz w:val="18"/>
        </w:rPr>
        <w:t>ICBA NEXUS 2026: International Conference on Data to Decisions</w:t>
        <w:br/>
        <w:t>In Collaboration with Madras Management Association (MMA) &amp; Ambalal Shares &amp; Stocks Private Limited</w:t>
      </w:r>
    </w:p>
    <w:p>
      <w:pPr>
        <w:spacing w:before="80" w:after="80" w:line="240" w:lineRule="auto"/>
        <w:jc w:val="both"/>
      </w:pPr>
      <w:r>
        <w:rPr>
          <w:rFonts w:ascii="Times New Roman" w:hAnsi="Times New Roman"/>
          <w:b/>
          <w:i/>
          <w:color w:val="000000"/>
          <w:sz w:val="18"/>
        </w:rPr>
        <w:t xml:space="preserve">Abstract— </w:t>
      </w:r>
      <w:r>
        <w:rPr>
          <w:rFonts w:ascii="Times New Roman" w:hAnsi="Times New Roman"/>
          <w:b/>
          <w:i w:val="0"/>
          <w:color w:val="000000"/>
          <w:sz w:val="18"/>
        </w:rPr>
        <w:t>Retail investors increasingly have access to personal financial data but lack reliable, transparent mechanisms to translate raw figures into sound, risk-aligned investment strategies. Commercial Large Language Models (LLMs) excel at natural-language conversation but exhibit critical failure modes in personal finance, including arithmetic hallucination, stochastic inconsistency, lack of grounding, and non-compliance with statutory advisory regulations (e.g., SEBI guidelines). In this paper, we propose InvestRight, a full-stack, tool-orchestrated financial advisory architecture that provably separates deterministic mathematical calculations and psychometric risk profiling from generative natural language reasoning. The system integrates: (1) a deterministic financial analytics engine computing surplus capacity and emergency safety buffers; (2) a dynamic psychometric risk calibration instrument that resolves population crowding; (3) a multimodal document extraction pipeline that extracts financial facts from payslips and bank statements via optical character recognition (OCR) with real-time database synchronization; and (4) a provenance-aware retrieval layer that decouples authoritative structured facts from historical dialog memory using bounded lexical ranking. We evaluate InvestRight across a synthetic population of N = 240 profiles and an empirical 5-user persona testbed under production conditions. Results demonstrate 100.0% arithmetic consistency (0 / 240 discrepancies), 100.0% factual groundedness, 0.00% unsupported numerical claim rate, 100.0% regulatory compliance, a 95.9% reduction in LLM context token overhead (1,372 vs. 34,200 tokens), and a low mean response latency of 2.08 seconds (P90 = 2.28s). A human-subject UX study (N = 6) yielded an average overall satisfaction score of 4.8 / 5.0 and a Net Promoter Score of +80.0, validating the platform's suitability for trustworthy retail financial decision support.</w:t>
      </w:r>
    </w:p>
    <w:p>
      <w:pPr>
        <w:spacing w:before="40" w:after="240"/>
        <w:jc w:val="both"/>
      </w:pPr>
      <w:r>
        <w:rPr>
          <w:rFonts w:ascii="Times New Roman" w:hAnsi="Times New Roman"/>
          <w:b/>
          <w:i/>
          <w:color w:val="000000"/>
          <w:sz w:val="18"/>
        </w:rPr>
        <w:t xml:space="preserve">Keywords— </w:t>
      </w:r>
      <w:r>
        <w:rPr>
          <w:rFonts w:ascii="Times New Roman" w:hAnsi="Times New Roman"/>
          <w:i/>
          <w:color w:val="000000"/>
          <w:sz w:val="18"/>
        </w:rPr>
        <w:t>financial analytics, risk profiling, investment decision support, LLM agents, tool calling, retrieval-augmented generation (RAG), multimodal document extraction, robo-advisory, explainable AI, SEBI compliance.</w:t>
      </w:r>
    </w:p>
    <w:p>
      <w:pPr>
        <w:spacing w:before="240" w:after="80" w:line="240" w:lineRule="auto"/>
        <w:jc w:val="center"/>
      </w:pPr>
      <w:r>
        <w:rPr>
          <w:rFonts w:ascii="Times New Roman" w:hAnsi="Times New Roman"/>
          <w:b/>
          <w:i w:val="0"/>
          <w:color w:val="000000"/>
          <w:sz w:val="20"/>
        </w:rPr>
        <w:t>I. INTRODUCTION</w:t>
      </w:r>
    </w:p>
    <w:p>
      <w:pPr>
        <w:spacing w:before="0" w:after="80" w:line="240" w:lineRule="auto"/>
        <w:jc w:val="both"/>
      </w:pPr>
      <w:r>
        <w:rPr>
          <w:rFonts w:ascii="Times New Roman" w:hAnsi="Times New Roman"/>
          <w:b w:val="0"/>
          <w:i w:val="0"/>
          <w:color w:val="000000"/>
          <w:sz w:val="20"/>
        </w:rPr>
        <w:t>The democratization of digital financial services in emerging markets—most visibly demonstrated by the rapid expansion of Unified Payments Interface (UPI) transactions and retail systematic investment plans (SIPs) in India—has provided millions of individuals with unprecedented access to capital markets. However, the availability of financial access has not been accompanied by a corresponding growth in financial literacy. Retail investors frequently suffer from the 'paradox of choice', navigating thousands of mutual fund schemes, equity tickers, and debt instruments without objective, personalized guidance. Professional registered financial advisors remain cost-prohibitive for retail earners, while unregulated social media financial influencers ('finfluencers') often disseminate speculative, uncalibrated advice that exposes retail capital to catastrophic drawdowns.</w:t>
      </w:r>
    </w:p>
    <w:p>
      <w:pPr>
        <w:spacing w:before="0" w:after="80" w:line="240" w:lineRule="auto"/>
        <w:jc w:val="both"/>
      </w:pPr>
      <w:r>
        <w:rPr>
          <w:rFonts w:ascii="Times New Roman" w:hAnsi="Times New Roman"/>
          <w:b w:val="0"/>
          <w:i w:val="0"/>
          <w:color w:val="000000"/>
          <w:sz w:val="20"/>
        </w:rPr>
        <w:t>Recent breakthroughs in Large Language Models (LLMs) offer the promise of conversational, empathetic, and multilingual financial assistance. Nevertheless, deploying commercial generative AI chatbots (e.g., standard ChatGPT, Claude, or LLaMA) directly in financial decision support introduces severe systemic risks. As established in recent literature [2, 3, 16], LLMs suffer from three fundamental vulnerabilities in financial applications: (1) arithmetic unreliability and hallucination, where models fabricate plausible-sounding investment yields, expense ratios, or tax calculations; (2) context drift and conversational cross-contamination, where historical conversational exchanges overwrite factual user profile data; and (3) regulatory liability, as statutory authorities like the Securities and Exchange Board of India (SEBI) mandate strict risk-disclosure frameworks, auditable advisory provenance, and the prohibition of guaranteed return promises.</w:t>
      </w:r>
    </w:p>
    <w:p>
      <w:pPr>
        <w:spacing w:before="0" w:after="80" w:line="240" w:lineRule="auto"/>
        <w:jc w:val="both"/>
      </w:pPr>
      <w:r>
        <w:rPr>
          <w:rFonts w:ascii="Times New Roman" w:hAnsi="Times New Roman"/>
          <w:b w:val="0"/>
          <w:i w:val="0"/>
          <w:color w:val="000000"/>
          <w:sz w:val="20"/>
        </w:rPr>
        <w:t>To overcome these challenges, financial decision support must adhere to a strict architectural separation of concerns: mathematical computations, psychometric risk profiling, and asset allocation matching must be executed by deterministic, auditable software routines, while the LLM is restricted to tool orchestration, conversational synthesis, and natural language explanation. Furthermore, real-world retail investors rarely possess pre-compiled tabular budgets; their financial facts reside in pay slips, bank statements, and utility receipts. A viable system must therefore provide multimodal document extraction that extracts verified facts and synchronizes them directly into an auditable relational profile.</w:t>
      </w:r>
    </w:p>
    <w:p>
      <w:pPr>
        <w:spacing w:before="0" w:after="80" w:line="240" w:lineRule="auto"/>
        <w:jc w:val="both"/>
      </w:pPr>
      <w:r>
        <w:rPr>
          <w:rFonts w:ascii="Times New Roman" w:hAnsi="Times New Roman"/>
          <w:b w:val="0"/>
          <w:i w:val="0"/>
          <w:color w:val="000000"/>
          <w:sz w:val="20"/>
        </w:rPr>
        <w:t>In this paper, we introduce InvestRight, an end-to-end, production-tested AI financial advisory platform. The primary contributions of this work are fivefold:</w:t>
      </w:r>
    </w:p>
    <w:p>
      <w:pPr>
        <w:spacing w:before="40" w:after="40"/>
        <w:jc w:val="both"/>
      </w:pPr>
      <w:r>
        <w:rPr>
          <w:rFonts w:ascii="Times New Roman" w:hAnsi="Times New Roman"/>
          <w:b/>
          <w:color w:val="000000"/>
          <w:sz w:val="20"/>
        </w:rPr>
        <w:t xml:space="preserve">• 1. Provably Deterministic Architecture: </w:t>
      </w:r>
      <w:r>
        <w:rPr>
          <w:rFonts w:ascii="Times New Roman" w:hAnsi="Times New Roman"/>
          <w:color w:val="000000"/>
          <w:sz w:val="20"/>
        </w:rPr>
        <w:t>We implement an architectural paradigm that strictly decouples numerical calculations (savings rate, expense ratio, investment capacity, safety buffers) from generative text generation, completely eliminating arithmetic hallucination.</w:t>
      </w:r>
    </w:p>
    <w:p>
      <w:pPr>
        <w:spacing w:before="40" w:after="40"/>
        <w:jc w:val="both"/>
      </w:pPr>
      <w:r>
        <w:rPr>
          <w:rFonts w:ascii="Times New Roman" w:hAnsi="Times New Roman"/>
          <w:b/>
          <w:color w:val="000000"/>
          <w:sz w:val="20"/>
        </w:rPr>
        <w:t xml:space="preserve">• 2. Multimodal Document Evidence &amp; Real-Time Sync: </w:t>
      </w:r>
      <w:r>
        <w:rPr>
          <w:rFonts w:ascii="Times New Roman" w:hAnsi="Times New Roman"/>
          <w:color w:val="000000"/>
          <w:sz w:val="20"/>
        </w:rPr>
        <w:t>We engineer an optical character recognition (OCR) and PDF parsing pipeline with interactive human-in-the-loop verification, synchronizing extracted earnings and deductions directly into a serverless PostgreSQL profile.</w:t>
      </w:r>
    </w:p>
    <w:p>
      <w:pPr>
        <w:spacing w:before="40" w:after="40"/>
        <w:jc w:val="both"/>
      </w:pPr>
      <w:r>
        <w:rPr>
          <w:rFonts w:ascii="Times New Roman" w:hAnsi="Times New Roman"/>
          <w:b/>
          <w:color w:val="000000"/>
          <w:sz w:val="20"/>
        </w:rPr>
        <w:t xml:space="preserve">• 3. Provenance-Aware Bounded Lexical-Overlap Retrieval: </w:t>
      </w:r>
      <w:r>
        <w:rPr>
          <w:rFonts w:ascii="Times New Roman" w:hAnsi="Times New Roman"/>
          <w:color w:val="000000"/>
          <w:sz w:val="20"/>
        </w:rPr>
        <w:t>We design a dual-stream RAG layer that separates authoritative current facts from historical conversational memory, reducing prompt token overhead by 95.9% and preventing prompt-injection contamination.</w:t>
      </w:r>
    </w:p>
    <w:p>
      <w:pPr>
        <w:spacing w:before="40" w:after="40"/>
        <w:jc w:val="both"/>
      </w:pPr>
      <w:r>
        <w:rPr>
          <w:rFonts w:ascii="Times New Roman" w:hAnsi="Times New Roman"/>
          <w:b/>
          <w:color w:val="000000"/>
          <w:sz w:val="20"/>
        </w:rPr>
        <w:t xml:space="preserve">• 4. Psychometric Calibration of Risk Boundaries: </w:t>
      </w:r>
      <w:r>
        <w:rPr>
          <w:rFonts w:ascii="Times New Roman" w:hAnsi="Times New Roman"/>
          <w:color w:val="000000"/>
          <w:sz w:val="20"/>
        </w:rPr>
        <w:t>We uncover and resolve the uniform-response Moderate-band crowding effect through dynamic percentile calibration across an 8-question risk instrument.</w:t>
      </w:r>
    </w:p>
    <w:p>
      <w:pPr>
        <w:spacing w:before="40" w:after="40"/>
        <w:jc w:val="both"/>
      </w:pPr>
      <w:r>
        <w:rPr>
          <w:rFonts w:ascii="Times New Roman" w:hAnsi="Times New Roman"/>
          <w:b/>
          <w:color w:val="000000"/>
          <w:sz w:val="20"/>
        </w:rPr>
        <w:t xml:space="preserve">• 5. Multi-Tier Empirical &amp; Human-Subject Validation: </w:t>
      </w:r>
      <w:r>
        <w:rPr>
          <w:rFonts w:ascii="Times New Roman" w:hAnsi="Times New Roman"/>
          <w:color w:val="000000"/>
          <w:sz w:val="20"/>
        </w:rPr>
        <w:t>We validate the system across N = 240 synthetic profiles (100.0% functional consistency), an empirical 5-user persona benchmark under live production conditions (100.0% groundedness, 0.00% unsupported numbers, 2.08s latency), and a human-subject user study (4.8 / 5.0 satisfaction, NPS +80.0).</w:t>
      </w:r>
    </w:p>
    <w:p>
      <w:pPr>
        <w:spacing w:before="240" w:after="80" w:line="240" w:lineRule="auto"/>
        <w:jc w:val="center"/>
      </w:pPr>
      <w:r>
        <w:rPr>
          <w:rFonts w:ascii="Times New Roman" w:hAnsi="Times New Roman"/>
          <w:b/>
          <w:i w:val="0"/>
          <w:color w:val="000000"/>
          <w:sz w:val="20"/>
        </w:rPr>
        <w:t>II. RELATED WORK AND RESEARCH GAP</w:t>
      </w:r>
    </w:p>
    <w:p>
      <w:pPr>
        <w:spacing w:before="0" w:after="80" w:line="240" w:lineRule="auto"/>
        <w:jc w:val="both"/>
      </w:pPr>
      <w:r>
        <w:rPr>
          <w:rFonts w:ascii="Times New Roman" w:hAnsi="Times New Roman"/>
          <w:b w:val="0"/>
          <w:i w:val="0"/>
          <w:color w:val="000000"/>
          <w:sz w:val="20"/>
        </w:rPr>
        <w:t>The synthesis of artificial intelligence with financial advisory systems represents an active intersection of portfolio theory, machine learning, natural language processing, and regulatory compliance. To situate InvestRight within the state of the art, we review the literature across four thematic pillars: (A) traditional portfolio selection and automated robo-advisors; (B) generative AI and large language models in financial decision-making; (C) explainability, groundedness, and algorithmic trust; and (D) risk management, big data infrastructure, and regulatory bibliometric frameworks.</w:t>
      </w:r>
    </w:p>
    <w:p>
      <w:pPr>
        <w:spacing w:before="160" w:after="40" w:line="240" w:lineRule="auto"/>
        <w:jc w:val="left"/>
      </w:pPr>
      <w:r>
        <w:rPr>
          <w:rFonts w:ascii="Times New Roman" w:hAnsi="Times New Roman"/>
          <w:b w:val="0"/>
          <w:i/>
          <w:color w:val="000000"/>
          <w:sz w:val="20"/>
        </w:rPr>
        <w:t>A. Portfolio Selection and Robo-Advisory Architectures</w:t>
      </w:r>
    </w:p>
    <w:p>
      <w:pPr>
        <w:spacing w:before="0" w:after="80" w:line="240" w:lineRule="auto"/>
        <w:jc w:val="both"/>
      </w:pPr>
      <w:r>
        <w:rPr>
          <w:rFonts w:ascii="Times New Roman" w:hAnsi="Times New Roman"/>
          <w:b w:val="0"/>
          <w:i w:val="0"/>
          <w:color w:val="000000"/>
          <w:sz w:val="20"/>
        </w:rPr>
        <w:t>Automated financial advisory traces its mathematical foundation to Markowitz's Modern Portfolio Theory (MPT) [21], which framed portfolio construction as mean-variance optimization. Commercial robo-advisors translated MPT into digital consumer applications by employing rule-based scoring algorithms to map psychometric questionnaire responses to pre-allocated portfolios [1, 5, 7, 17]. Sumeer et al. [1] recently demonstrated an AI-driven advisory system combining dynamic risk profiling with MPT, yet their architecture relies entirely on unverified user-reported inputs and lacks multimodal document verification. Similarly, Ablazov et al. [5] and Dongre et al. [7] evaluated robo-advisors in personal wealth management, concluding that while algorithmic rebalancing reduces human bias, static questionnaires fail to capture dynamic expenditure volatility or emergency reserve constraints.</w:t>
      </w:r>
    </w:p>
    <w:p>
      <w:pPr>
        <w:spacing w:before="160" w:after="40" w:line="240" w:lineRule="auto"/>
        <w:jc w:val="left"/>
      </w:pPr>
      <w:r>
        <w:rPr>
          <w:rFonts w:ascii="Times New Roman" w:hAnsi="Times New Roman"/>
          <w:b w:val="0"/>
          <w:i/>
          <w:color w:val="000000"/>
          <w:sz w:val="20"/>
        </w:rPr>
        <w:t>B. Generative AI and LLMs in Personal Finance</w:t>
      </w:r>
    </w:p>
    <w:p>
      <w:pPr>
        <w:spacing w:before="0" w:after="80" w:line="240" w:lineRule="auto"/>
        <w:jc w:val="both"/>
      </w:pPr>
      <w:r>
        <w:rPr>
          <w:rFonts w:ascii="Times New Roman" w:hAnsi="Times New Roman"/>
          <w:b w:val="0"/>
          <w:i w:val="0"/>
          <w:color w:val="000000"/>
          <w:sz w:val="20"/>
        </w:rPr>
        <w:t>The advent of generative LLMs has inspired novel conversational finance applications. Ghosn [2] and Irfan et al. [12] synthesized the transformative potential of AI in wealth management and auditing, emphasizing that conversational interfaces substantially lower cognitive barriers for retail users. However, Ali et al. [3] conducted a PRISMA-based systematic review of 84 peer-reviewed studies on generative AI in finance, identifying severe replicability deficiencies, high stochastic variance, and persistent hallucinations in numerical outputs. Chi [11] introduced FinErva, a multimodal chain-of-thought framework for financial analysis; nevertheless, unconstrained chain-of-thought generation allows arithmetic calculation errors to propagate undetected into final recommendations, lacking deterministic software guardrails.</w:t>
      </w:r>
    </w:p>
    <w:p>
      <w:pPr>
        <w:spacing w:before="160" w:after="40" w:line="240" w:lineRule="auto"/>
        <w:jc w:val="left"/>
      </w:pPr>
      <w:r>
        <w:rPr>
          <w:rFonts w:ascii="Times New Roman" w:hAnsi="Times New Roman"/>
          <w:b w:val="0"/>
          <w:i/>
          <w:color w:val="000000"/>
          <w:sz w:val="20"/>
        </w:rPr>
        <w:t>C. Explainability, Interpretability, and Algorithmic Trust</w:t>
      </w:r>
    </w:p>
    <w:p>
      <w:pPr>
        <w:spacing w:before="0" w:after="80" w:line="240" w:lineRule="auto"/>
        <w:jc w:val="both"/>
      </w:pPr>
      <w:r>
        <w:rPr>
          <w:rFonts w:ascii="Times New Roman" w:hAnsi="Times New Roman"/>
          <w:b w:val="0"/>
          <w:i w:val="0"/>
          <w:color w:val="000000"/>
          <w:sz w:val="20"/>
        </w:rPr>
        <w:t>Because financial recommendations directly influence user economic livelihood, algorithmic opacity ('black-box' reasoning) represents a critical hurdle. Ribeiro et al. [19] pioneered Local Interpretable Model-agnostic Explanations (LIME) to approximate local decision boundaries, while Anwar et al. [10] developed a hybrid decision support system bringing post-hoc feature importance to retail portfolio robo-advisors. However, post-hoc explanations explain model weight attributions rather than the causal financial logic behind an allocation, failing to assure users of statutory compliance or factual provenance [24, 25].</w:t>
      </w:r>
    </w:p>
    <w:p>
      <w:pPr>
        <w:spacing w:before="160" w:after="40" w:line="240" w:lineRule="auto"/>
        <w:jc w:val="left"/>
      </w:pPr>
      <w:r>
        <w:rPr>
          <w:rFonts w:ascii="Times New Roman" w:hAnsi="Times New Roman"/>
          <w:b w:val="0"/>
          <w:i/>
          <w:color w:val="000000"/>
          <w:sz w:val="20"/>
        </w:rPr>
        <w:t>D. Financial Risk Management, Big Data, and Ethical Governance</w:t>
      </w:r>
    </w:p>
    <w:p>
      <w:pPr>
        <w:spacing w:before="0" w:after="80" w:line="240" w:lineRule="auto"/>
        <w:jc w:val="both"/>
      </w:pPr>
      <w:r>
        <w:rPr>
          <w:rFonts w:ascii="Times New Roman" w:hAnsi="Times New Roman"/>
          <w:b w:val="0"/>
          <w:i w:val="0"/>
          <w:color w:val="000000"/>
          <w:sz w:val="20"/>
        </w:rPr>
        <w:t>Extensive bibliometric and systematic literature reviews by Goodell et al. [18], Aria &amp; Cuccurullo [20], Leo et al. [22], Shah et al. [8], Bhattacharjee et al. [14], and Mahyaoui &amp; Krami [15] demonstrate that over 75% of academic financial AI research remains heavily concentrated on institutional banking risks (credit default, market liquidity, corporate fraud) rather than consumer-facing personal finance. Furthermore, Hesami [16] underscored the ethical and regulatory imperatives of personal AI finance, highlighting the dangers of deceptive marketing, biased risk assessments, and lack of emergency liquidity cushions. Elalkaoui et al. [9] and Gupta et al. [13] reviewed big data infrastructures, noting their impracticality for lightweight, low-latency retail consumer deployments.</w:t>
      </w:r>
    </w:p>
    <w:p>
      <w:pPr>
        <w:spacing w:before="0" w:after="80" w:line="240" w:lineRule="auto"/>
        <w:jc w:val="both"/>
      </w:pPr>
      <w:r>
        <w:rPr>
          <w:rFonts w:ascii="Times New Roman" w:hAnsi="Times New Roman"/>
          <w:b w:val="0"/>
          <w:i w:val="0"/>
          <w:color w:val="000000"/>
          <w:sz w:val="20"/>
        </w:rPr>
        <w:t>To provide a rigorous, systematic comparison of the literature, Table I summarizes the methodologies, key technologies, limitations, and identified research gaps across 22 primary Scopus-indexed studies.</w:t>
      </w:r>
    </w:p>
    <w:p>
      <w:pPr>
        <w:spacing w:before="120" w:after="80" w:line="240" w:lineRule="auto"/>
        <w:jc w:val="center"/>
      </w:pPr>
      <w:r>
        <w:rPr>
          <w:rFonts w:ascii="Times New Roman" w:hAnsi="Times New Roman"/>
          <w:b/>
          <w:i w:val="0"/>
          <w:color w:val="000000"/>
          <w:sz w:val="18"/>
        </w:rPr>
        <w:t>TABLE I. COMPARATIVE ANALYSIS OF RELATED WORKS IN AI-DRIVEN FINANCIAL ADVISORY AND RISK PROFILING</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F2F2F2"/>
            <w:tcMar>
              <w:top w:w="60" w:type="dxa"/>
              <w:bottom w:w="60" w:type="dxa"/>
              <w:left w:w="80" w:type="dxa"/>
              <w:right w:w="80" w:type="dxa"/>
            </w:tcMar>
            <w:tcBorders>
              <w:top w:val="single" w:sz="8" w:space="0" w:color="000000"/>
              <w:bottom w:val="single" w:sz="8" w:space="0" w:color="000000"/>
              <w:left w:val="none"/>
              <w:right w:val="none"/>
            </w:tcBorders>
          </w:tcPr>
          <w:p>
            <w:pPr>
              <w:spacing w:before="60" w:after="60"/>
              <w:jc w:val="center"/>
            </w:pPr>
            <w:r>
              <w:rPr>
                <w:rFonts w:ascii="Times New Roman" w:hAnsi="Times New Roman"/>
                <w:b/>
                <w:color w:val="000000"/>
                <w:sz w:val="16"/>
              </w:rPr>
              <w:t>Paper No [Citation] / Reference</w:t>
            </w:r>
          </w:p>
        </w:tc>
        <w:tc>
          <w:tcPr>
            <w:tcW w:type="dxa" w:w="3600"/>
            <w:shd w:val="clear" w:color="auto" w:fill="F2F2F2"/>
            <w:tcMar>
              <w:top w:w="60" w:type="dxa"/>
              <w:bottom w:w="60" w:type="dxa"/>
              <w:left w:w="80" w:type="dxa"/>
              <w:right w:w="80" w:type="dxa"/>
            </w:tcMar>
            <w:tcBorders>
              <w:top w:val="single" w:sz="8" w:space="0" w:color="000000"/>
              <w:bottom w:val="single" w:sz="8" w:space="0" w:color="000000"/>
              <w:left w:val="none"/>
              <w:right w:val="none"/>
            </w:tcBorders>
          </w:tcPr>
          <w:p>
            <w:pPr>
              <w:spacing w:before="60" w:after="60"/>
              <w:jc w:val="center"/>
            </w:pPr>
            <w:r>
              <w:rPr>
                <w:rFonts w:ascii="Times New Roman" w:hAnsi="Times New Roman"/>
                <w:b/>
                <w:color w:val="000000"/>
                <w:sz w:val="16"/>
              </w:rPr>
              <w:t>Methodology / Technology</w:t>
            </w:r>
          </w:p>
        </w:tc>
        <w:tc>
          <w:tcPr>
            <w:tcW w:type="dxa" w:w="3888"/>
            <w:shd w:val="clear" w:color="auto" w:fill="F2F2F2"/>
            <w:tcMar>
              <w:top w:w="60" w:type="dxa"/>
              <w:bottom w:w="60" w:type="dxa"/>
              <w:left w:w="80" w:type="dxa"/>
              <w:right w:w="80" w:type="dxa"/>
            </w:tcMar>
            <w:tcBorders>
              <w:top w:val="single" w:sz="8" w:space="0" w:color="000000"/>
              <w:bottom w:val="single" w:sz="8" w:space="0" w:color="000000"/>
              <w:left w:val="none"/>
              <w:right w:val="none"/>
            </w:tcBorders>
          </w:tcPr>
          <w:p>
            <w:pPr>
              <w:spacing w:before="60" w:after="60"/>
              <w:jc w:val="center"/>
            </w:pPr>
            <w:r>
              <w:rPr>
                <w:rFonts w:ascii="Times New Roman" w:hAnsi="Times New Roman"/>
                <w:b/>
                <w:color w:val="000000"/>
                <w:sz w:val="16"/>
              </w:rPr>
              <w:t>Limitation / Findings / Gap</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 Sumeer et al.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Machine learning algorithms integrated with Modern Portfolio Theory (MPT) for dynamic risk score calculation and asset allocation.</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High dependency on self-reported inputs; lacks multimodal document evidence verification (OCR) and lacks deterministic guardrails to prevent hallucinated asset returns.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[2] Ghosn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Conceptual and comparative synthesis analyzing AI algorithms in portfolio optimization, wealth management, and sustainable ESG financing.</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Focuses primarily on high-level enterprise and institutional wealth management; lacks implementation architecture and empirical evaluation for retail individuals with irregular income.</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[3] Ali et al.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PRISMA-based systematic review of 84 peer-reviewed studies (2022–2025) evaluating LLMs and generative agents in financial workflows.</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Identifies severe replicability issues, stochastic output variance, arithmetic errors, and regulatory non-compliance in commercial LLM financial advice.</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[4] Singh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Survey of predictive machine learning architectures (supervised classification, anomaly detection) for institutional financial risk modeling.</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Limited strictly to macro-institutional risk mitigation; fails to provide interactive, conversational decision support or personalized risk tolerance calibration for retail investors.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[5] Ablazov et al. (2024)</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Empirical evaluation of algorithmic robo-advisors using rule-based decision trees and quantitative portfolio rebalancing.</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Rigid psychometric questionnaires with static thresholds; lacks conversational natural-language interaction, voice accessibility, and auditable calculation provenance.</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[6] Mali &amp; Devmane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Comparative analysis of machine learning (ML), deep learning (DL), and reinforcement learning (RL) techniques for personal investment management.</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Deep learning models operate as uninterpretable black boxes; prone to overfitting on historical market data without considering user emergency liquidity buffers.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[7] Dongre et al.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Web application integrating algorithmic mutual fund selection, stock trend screening, and goal-oriented financial planning algorithms.</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Lacks an autonomous tool-calling agent framework; relies on static heuristics without real-time voice-driven regional language interfaces or document extraction.</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[8] Shah et al.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Quantitative bibliometric analysis of 15 years of academic literature spanning credit, market, operational, and algorithmic model risk.</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Highlights a fragmented research landscape with a pronounced deficit in end-to-end deployed systems combining LLM reasoning with regulatory compliance.</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[9] Elalkaoui et al.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Architectural review of distributed big data processing frameworks (Hadoop/Spark) coupled with predictive neural networks for financial forecasting.</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Extremely resource-heavy and enterprise-centric; impractical for lightweight consumer-facing financial decision support on personal budgets.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[10] Anwar et al.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Hybrid decision support combining synthetic investor profiles, machine learning classification, and post-hoc feature importance explanation.</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Post-hoc explainers (e.g., SHAP) explain model weights rather than financial reasoning; unable to perform dynamic multi-turn dialogue or answer unscripted user queries.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[11] Chi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Multimodal chain-of-thought (CoT) reasoning combining financial charts, textual news, and numerical time-series for portfolio analysis.</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Unbounded chain-of-thought allows numerical calculation errors to propagate; lacks strict isolation between arithmetic computation and linguistic narrative generation.</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[12] Irfan et al.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Qualitative and conceptual assessment of AI integration across auditing, algorithmic trading, risk management, and personalized wealth advisory.</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Purely exploratory foresight without software engineering artifacts, functional codebases, or quantified performance and latency benchmarks.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[13] Gupta et al.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Comprehensive domain review of post-pandemic digital fintech tools, automated underwriting, and algorithmic robo-advisors.</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Emphasizes systemic banking benefits while neglecting individual behavioral biases, risk calibration crowding, and vernacular language accessibility.</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[14] Bhattacharjee et al.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Global science mapping and network co-occurrence analysis of AI research trajectories across credit risk, fraud detection, and regulatory compliance.</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Disconnected across disciplinary silos; demonstrates a persistent gap in practical frameworks that harmonize algorithmic accuracy with statutory consumer protection.</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[15] Mahyaoui &amp; Krami (2026)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Systematic literature review categorizing peer-reviewed AI algorithms across credit risk, market volatility, fraud detection, and operational exposure.</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Over 40% of reviewed solutions target credit/fraud risk; retail investor capacity modeling and personal expenditure ratios remain heavily under-researched.</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[16] Hesami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Structured critical review examining algorithmic bias, digital exclusion, ethical data handling, and behavioral nudges in personal finance apps.</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Theoretical ethical critique lacking empirical system design to enforce privacy preservation, ephemeral OCR document processing, and unbiased risk boundary mapping.</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[17] Kharatmol et al. (2025)</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Web-based advisory application leveraging Python (Pandas/Plotly), market sentiment APIs, and an LLM chatbot to generate investment guidance.</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Directly pairs conversational chatbot with financial APIs without provenance tags, risking hallucinations, token bloat, and unverified user income inputs.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[18] Goodell et al. (2021)</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Co-citation and bibliometric coupling analysis mapping three major finance clusters: portfolio construction, distress prediction, and sentiment planning.</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Pre-LLM foundation; does not address modern agentic tool orchestration, retrieval-augmented generation (RAG), or generative hallucination vulnerabilities.</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[19] Ribeiro et al. (2016)</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Local Interpretable Model-agnostic Explanations (LIME), approximating complex black-box classifiers locally with interpretable linear surrogates.</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Local perturbations are computationally expensive and unstable; fails to provide factual provenance or deterministic mathematical guarantees required in regulated financial advice.</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[20] Aria &amp; Cuccurullo (2017)</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Open-source statistical computing package in R for bibliometric workflow orchestration and scientific knowledge domain mapping.</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Bibliometric tool solely for literature meta-analysis; provides no direct interactive mechanism or computational pipeline for investor portfolio decision support.</w:t>
            </w:r>
          </w:p>
        </w:tc>
      </w:tr>
      <w:tr>
        <w:tc>
          <w:tcPr>
            <w:tcW w:type="dxa" w:w="2592"/>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center"/>
            </w:pPr>
            <w:r>
              <w:rPr>
                <w:rFonts w:ascii="Times New Roman" w:hAnsi="Times New Roman"/>
                <w:b/>
                <w:color w:val="000000"/>
                <w:sz w:val="16"/>
              </w:rPr>
              <w:t>[21] Markowitz (1952)</w:t>
            </w:r>
          </w:p>
        </w:tc>
        <w:tc>
          <w:tcPr>
            <w:tcW w:type="dxa" w:w="3600"/>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Classical Mean-Variance Optimization (Modern Portfolio Theory - MPT), formulating the efficient frontier based on expected return and covariance.</w:t>
            </w:r>
          </w:p>
        </w:tc>
        <w:tc>
          <w:tcPr>
            <w:tcW w:type="dxa" w:w="3888"/>
            <w:tcMar>
              <w:top w:w="40" w:type="dxa"/>
              <w:bottom w:w="40" w:type="dxa"/>
              <w:left w:w="60" w:type="dxa"/>
              <w:right w:w="60" w:type="dxa"/>
            </w:tcMar>
            <w:tcBorders>
              <w:top w:val="none"/>
              <w:bottom w:val="single" w:sz="4" w:space="0" w:color="000000"/>
              <w:left w:val="none"/>
              <w:right w:val="none"/>
            </w:tcBorders>
          </w:tcPr>
          <w:p>
            <w:pPr>
              <w:spacing w:before="40" w:after="40" w:line="240" w:lineRule="auto"/>
              <w:jc w:val="left"/>
            </w:pPr>
            <w:r>
              <w:rPr>
                <w:rFonts w:ascii="Times New Roman" w:hAnsi="Times New Roman"/>
                <w:b w:val="0"/>
                <w:color w:val="000000"/>
                <w:sz w:val="16"/>
              </w:rPr>
              <w:t>Assumes normal asset return distributions, static risk tolerance, and known covariances; ignores behavioral factors, emergency safety buffers, and cash flow constraints.</w:t>
            </w:r>
          </w:p>
        </w:tc>
      </w:tr>
      <w:tr>
        <w:tc>
          <w:tcPr>
            <w:tcW w:type="dxa" w:w="2592"/>
            <w:tcMar>
              <w:top w:w="40" w:type="dxa"/>
              <w:bottom w:w="40" w:type="dxa"/>
              <w:left w:w="60" w:type="dxa"/>
              <w:right w:w="60" w:type="dxa"/>
            </w:tcMar>
            <w:tcBorders>
              <w:top w:val="none"/>
              <w:bottom w:val="single" w:sz="8" w:space="0" w:color="000000"/>
              <w:left w:val="none"/>
              <w:right w:val="none"/>
            </w:tcBorders>
          </w:tcPr>
          <w:p>
            <w:pPr>
              <w:spacing w:before="40" w:after="40" w:line="240" w:lineRule="auto"/>
              <w:jc w:val="center"/>
            </w:pPr>
            <w:r>
              <w:rPr>
                <w:rFonts w:ascii="Times New Roman" w:hAnsi="Times New Roman"/>
                <w:b/>
                <w:color w:val="000000"/>
                <w:sz w:val="16"/>
              </w:rPr>
              <w:t>[22] Leo et al. (2019)</w:t>
            </w:r>
          </w:p>
        </w:tc>
        <w:tc>
          <w:tcPr>
            <w:tcW w:type="dxa" w:w="3600"/>
            <w:tcMar>
              <w:top w:w="40" w:type="dxa"/>
              <w:bottom w:w="40" w:type="dxa"/>
              <w:left w:w="60" w:type="dxa"/>
              <w:right w:w="60" w:type="dxa"/>
            </w:tcMar>
            <w:tcBorders>
              <w:top w:val="none"/>
              <w:bottom w:val="single" w:sz="8" w:space="0" w:color="000000"/>
              <w:left w:val="none"/>
              <w:right w:val="none"/>
            </w:tcBorders>
          </w:tcPr>
          <w:p>
            <w:pPr>
              <w:spacing w:before="40" w:after="40" w:line="240" w:lineRule="auto"/>
              <w:jc w:val="left"/>
            </w:pPr>
            <w:r>
              <w:rPr>
                <w:rFonts w:ascii="Times New Roman" w:hAnsi="Times New Roman"/>
                <w:b w:val="0"/>
                <w:color w:val="000000"/>
                <w:sz w:val="16"/>
              </w:rPr>
              <w:t>Literature review analyzing machine learning applications across credit risk, market risk, operational risk, and liquidity risk management in banking.</w:t>
            </w:r>
          </w:p>
        </w:tc>
        <w:tc>
          <w:tcPr>
            <w:tcW w:type="dxa" w:w="3888"/>
            <w:tcMar>
              <w:top w:w="40" w:type="dxa"/>
              <w:bottom w:w="40" w:type="dxa"/>
              <w:left w:w="60" w:type="dxa"/>
              <w:right w:w="60" w:type="dxa"/>
            </w:tcMar>
            <w:tcBorders>
              <w:top w:val="none"/>
              <w:bottom w:val="single" w:sz="8" w:space="0" w:color="000000"/>
              <w:left w:val="none"/>
              <w:right w:val="none"/>
            </w:tcBorders>
          </w:tcPr>
          <w:p>
            <w:pPr>
              <w:spacing w:before="40" w:after="40" w:line="240" w:lineRule="auto"/>
              <w:jc w:val="left"/>
            </w:pPr>
            <w:r>
              <w:rPr>
                <w:rFonts w:ascii="Times New Roman" w:hAnsi="Times New Roman"/>
                <w:b w:val="0"/>
                <w:color w:val="000000"/>
                <w:sz w:val="16"/>
              </w:rPr>
              <w:t>Focuses almost exclusively on institutional commercial banking balance sheets; does not address retail consumer financial wellness or conversational decision support.</w:t>
            </w:r>
          </w:p>
        </w:tc>
      </w:tr>
    </w:tbl>
    <w:p>
      <w:pPr>
        <w:spacing w:before="120" w:after="80" w:line="240" w:lineRule="auto"/>
        <w:jc w:val="both"/>
      </w:pPr>
      <w:r>
        <w:rPr>
          <w:rFonts w:ascii="Times New Roman" w:hAnsi="Times New Roman"/>
          <w:b w:val="0"/>
          <w:i w:val="0"/>
          <w:color w:val="000000"/>
          <w:sz w:val="20"/>
        </w:rPr>
        <w:t>As established in Table I, the contemporary literature reveals four critical technological voids: (1) an over-reliance on unconstrained generative language models that hallucinate calculations without deterministic verification; (2) a complete absence of multimodal document ingestion (OCR) to convert real-world payslips and bank statements into verified profile facts; (3) uncalibrated psychometric risk scoring instruments that artificially compress users into arbitrary moderate buckets; and (4) excessive computational context bloat in naive chat implementations. InvestRight was specifically engineered to overcome each of these limitations.</w:t>
      </w:r>
    </w:p>
    <w:p>
      <w:pPr>
        <w:spacing w:before="240" w:after="80" w:line="240" w:lineRule="auto"/>
        <w:jc w:val="center"/>
      </w:pPr>
      <w:r>
        <w:rPr>
          <w:rFonts w:ascii="Times New Roman" w:hAnsi="Times New Roman"/>
          <w:b/>
          <w:i w:val="0"/>
          <w:color w:val="000000"/>
          <w:sz w:val="20"/>
        </w:rPr>
        <w:t>III. SYSTEM DESIGN AND METHODOLOGY</w:t>
      </w:r>
    </w:p>
    <w:p>
      <w:pPr>
        <w:spacing w:before="0" w:after="80" w:line="240" w:lineRule="auto"/>
        <w:jc w:val="both"/>
      </w:pPr>
      <w:r>
        <w:rPr>
          <w:rFonts w:ascii="Times New Roman" w:hAnsi="Times New Roman"/>
          <w:b w:val="0"/>
          <w:i w:val="0"/>
          <w:color w:val="000000"/>
          <w:sz w:val="20"/>
        </w:rPr>
        <w:t>InvestRight is designed around the principle of architectural decoupling: stochastic language understanding is strictly isolated from deterministic financial calculation, psychometric scoring, and rule-based portfolio matching. Fig. 1 illustrates the end-to-end component topology.</w:t>
      </w:r>
    </w:p>
    <w:p>
      <w:pPr>
        <w:spacing w:before="80" w:after="40"/>
        <w:jc w:val="center"/>
      </w:pPr>
    </w:p>
    <w:p>
      <w:r>
        <w:drawing>
          <wp:inline xmlns:a="http://schemas.openxmlformats.org/drawingml/2006/main" xmlns:pic="http://schemas.openxmlformats.org/drawingml/2006/picture">
            <wp:extent cx="5669280" cy="280789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07898"/>
                    </a:xfrm>
                    <a:prstGeom prst="rect"/>
                  </pic:spPr>
                </pic:pic>
              </a:graphicData>
            </a:graphic>
          </wp:inline>
        </w:drawing>
      </w:r>
    </w:p>
    <w:p>
      <w:pPr>
        <w:spacing w:before="40" w:after="120" w:line="240" w:lineRule="auto"/>
        <w:jc w:val="center"/>
      </w:pPr>
      <w:r>
        <w:rPr>
          <w:rFonts w:ascii="Times New Roman" w:hAnsi="Times New Roman"/>
          <w:b w:val="0"/>
          <w:i/>
          <w:color w:val="000000"/>
          <w:sz w:val="17"/>
        </w:rPr>
        <w:t>Fig. 1. End-to-end InvestRight system architecture: React frontend with speech synthesis, FastAPI backend, deterministic financial analytics/risk/recommendation engines, ephemeral OCR document extraction, provenance-aware retrieval layer, and tool-orchestrated Groq LLaMA-3.3-70B agent.</w:t>
      </w:r>
    </w:p>
    <w:p>
      <w:pPr>
        <w:spacing w:before="160" w:after="40" w:line="240" w:lineRule="auto"/>
        <w:jc w:val="left"/>
      </w:pPr>
      <w:r>
        <w:rPr>
          <w:rFonts w:ascii="Times New Roman" w:hAnsi="Times New Roman"/>
          <w:b w:val="0"/>
          <w:i/>
          <w:color w:val="000000"/>
          <w:sz w:val="20"/>
        </w:rPr>
        <w:t>A. Deterministic Financial Analytics and Capacity Engine</w:t>
      </w:r>
    </w:p>
    <w:p>
      <w:pPr>
        <w:spacing w:before="0" w:after="80" w:line="240" w:lineRule="auto"/>
        <w:jc w:val="both"/>
      </w:pPr>
      <w:r>
        <w:rPr>
          <w:rFonts w:ascii="Times New Roman" w:hAnsi="Times New Roman"/>
          <w:b w:val="0"/>
          <w:i w:val="0"/>
          <w:color w:val="000000"/>
          <w:sz w:val="20"/>
        </w:rPr>
        <w:t>Let I represent the user's verified monthly income and E represent total monthly recurring expenditures. The deterministic engine executes four closed-form mathematical calculations:</w:t>
      </w:r>
    </w:p>
    <w:p>
      <w:pPr>
        <w:spacing w:before="20" w:after="20"/>
        <w:jc w:val="left"/>
      </w:pPr>
      <w:r>
        <w:rPr>
          <w:rFonts w:ascii="Times New Roman" w:hAnsi="Times New Roman"/>
          <w:b/>
          <w:color w:val="000000"/>
          <w:sz w:val="20"/>
        </w:rPr>
        <w:t xml:space="preserve">    • Monthly Savings (S):  </w:t>
      </w:r>
      <w:r>
        <w:rPr>
          <w:rFonts w:ascii="Times New Roman" w:hAnsi="Times New Roman"/>
          <w:i/>
          <w:color w:val="000000"/>
          <w:sz w:val="20"/>
        </w:rPr>
        <w:t>S = I - E</w:t>
      </w:r>
    </w:p>
    <w:p>
      <w:pPr>
        <w:spacing w:before="20" w:after="20"/>
        <w:jc w:val="left"/>
      </w:pPr>
      <w:r>
        <w:rPr>
          <w:rFonts w:ascii="Times New Roman" w:hAnsi="Times New Roman"/>
          <w:b/>
          <w:color w:val="000000"/>
          <w:sz w:val="20"/>
        </w:rPr>
        <w:t xml:space="preserve">    • Savings Rate (SR):  </w:t>
      </w:r>
      <w:r>
        <w:rPr>
          <w:rFonts w:ascii="Times New Roman" w:hAnsi="Times New Roman"/>
          <w:i/>
          <w:color w:val="000000"/>
          <w:sz w:val="20"/>
        </w:rPr>
        <w:t>SR = (S / I) × 100</w:t>
      </w:r>
    </w:p>
    <w:p>
      <w:pPr>
        <w:spacing w:before="20" w:after="20"/>
        <w:jc w:val="left"/>
      </w:pPr>
      <w:r>
        <w:rPr>
          <w:rFonts w:ascii="Times New Roman" w:hAnsi="Times New Roman"/>
          <w:b/>
          <w:color w:val="000000"/>
          <w:sz w:val="20"/>
        </w:rPr>
        <w:t xml:space="preserve">    • Expense Ratio (ER):  </w:t>
      </w:r>
      <w:r>
        <w:rPr>
          <w:rFonts w:ascii="Times New Roman" w:hAnsi="Times New Roman"/>
          <w:i/>
          <w:color w:val="000000"/>
          <w:sz w:val="20"/>
        </w:rPr>
        <w:t>ER = (E / I) × 100</w:t>
      </w:r>
    </w:p>
    <w:p>
      <w:pPr>
        <w:spacing w:before="20" w:after="20"/>
        <w:jc w:val="left"/>
      </w:pPr>
      <w:r>
        <w:rPr>
          <w:rFonts w:ascii="Times New Roman" w:hAnsi="Times New Roman"/>
          <w:b/>
          <w:color w:val="000000"/>
          <w:sz w:val="20"/>
        </w:rPr>
        <w:t xml:space="preserve">    • Emergency Safety Buffer (B):  </w:t>
      </w:r>
      <w:r>
        <w:rPr>
          <w:rFonts w:ascii="Times New Roman" w:hAnsi="Times New Roman"/>
          <w:i/>
          <w:color w:val="000000"/>
          <w:sz w:val="20"/>
        </w:rPr>
        <w:t>B = 3 × E</w:t>
      </w:r>
    </w:p>
    <w:p>
      <w:pPr>
        <w:spacing w:before="20" w:after="20"/>
        <w:jc w:val="left"/>
      </w:pPr>
      <w:r>
        <w:rPr>
          <w:rFonts w:ascii="Times New Roman" w:hAnsi="Times New Roman"/>
          <w:b/>
          <w:color w:val="000000"/>
          <w:sz w:val="20"/>
        </w:rPr>
        <w:t xml:space="preserve">    • Adjusted Monthly Investment Capacity (C):  </w:t>
      </w:r>
      <w:r>
        <w:rPr>
          <w:rFonts w:ascii="Times New Roman" w:hAnsi="Times New Roman"/>
          <w:i/>
          <w:color w:val="000000"/>
          <w:sz w:val="20"/>
        </w:rPr>
        <w:t>C = max(0, S - max(0, (B - Savings_Current) / 6))</w:t>
      </w:r>
    </w:p>
    <w:p>
      <w:pPr>
        <w:spacing w:before="20" w:after="20"/>
        <w:jc w:val="left"/>
      </w:pPr>
      <w:r>
        <w:rPr>
          <w:rFonts w:ascii="Times New Roman" w:hAnsi="Times New Roman"/>
          <w:b/>
          <w:color w:val="000000"/>
          <w:sz w:val="20"/>
        </w:rPr>
        <w:t xml:space="preserve">    • Surplus Investment Capacity (SC):  </w:t>
      </w:r>
      <w:r>
        <w:rPr>
          <w:rFonts w:ascii="Times New Roman" w:hAnsi="Times New Roman"/>
          <w:i/>
          <w:color w:val="000000"/>
          <w:sz w:val="20"/>
        </w:rPr>
        <w:t>SC = C - Planned_Investment</w:t>
      </w:r>
    </w:p>
    <w:p>
      <w:pPr>
        <w:spacing w:before="60" w:after="80" w:line="240" w:lineRule="auto"/>
        <w:jc w:val="both"/>
      </w:pPr>
      <w:r>
        <w:rPr>
          <w:rFonts w:ascii="Times New Roman" w:hAnsi="Times New Roman"/>
          <w:b w:val="0"/>
          <w:i w:val="0"/>
          <w:color w:val="000000"/>
          <w:sz w:val="20"/>
        </w:rPr>
        <w:t>Crucially, the safety buffer allocation guarantees that users who possess less than three months of baseline living expenses in liquid reserves are prevented from committing excessive monthly capital into volatile equities, enforcing fiduciary prudence before any market allocation.</w:t>
      </w:r>
    </w:p>
    <w:p>
      <w:pPr>
        <w:spacing w:before="160" w:after="40" w:line="240" w:lineRule="auto"/>
        <w:jc w:val="left"/>
      </w:pPr>
      <w:r>
        <w:rPr>
          <w:rFonts w:ascii="Times New Roman" w:hAnsi="Times New Roman"/>
          <w:b w:val="0"/>
          <w:i/>
          <w:color w:val="000000"/>
          <w:sz w:val="20"/>
        </w:rPr>
        <w:t>B. Psychometric Risk Profiling and Dynamic Calibration Engine</w:t>
      </w:r>
    </w:p>
    <w:p>
      <w:pPr>
        <w:spacing w:before="0" w:after="80" w:line="240" w:lineRule="auto"/>
        <w:jc w:val="both"/>
      </w:pPr>
      <w:r>
        <w:rPr>
          <w:rFonts w:ascii="Times New Roman" w:hAnsi="Times New Roman"/>
          <w:b w:val="0"/>
          <w:i w:val="0"/>
          <w:color w:val="000000"/>
          <w:sz w:val="20"/>
        </w:rPr>
        <w:t>Risk tolerance is evaluated via an 8-item psychometric instrument assessing loss aversion, drawdown tolerance, liquidity urgency, and investment horizon. Each question is scored on a 5-point Likert scale (1 to 5), yielding a raw score range R ∈ [8, 40]. In naive implementations, fixed proportional thresholds (e.g. scores ≤ 17 Conservative, 18–28 Moderate, ≥ 29 Aggressive) result in severe population crowding: over 80% of respondents collapse into the Moderate band due to central-tendency bias. InvestRight implements dynamic percentile threshold calibration: boundary cutoffs are derived empirically to ensure balanced distribution and avoid over-concentration.</w:t>
      </w:r>
    </w:p>
    <w:p>
      <w:pPr>
        <w:spacing w:before="160" w:after="40" w:line="240" w:lineRule="auto"/>
        <w:jc w:val="left"/>
      </w:pPr>
      <w:r>
        <w:rPr>
          <w:rFonts w:ascii="Times New Roman" w:hAnsi="Times New Roman"/>
          <w:b w:val="0"/>
          <w:i/>
          <w:color w:val="000000"/>
          <w:sz w:val="20"/>
        </w:rPr>
        <w:t>C. Rule-Based SEBI-Compliant Investment Category Mapping</w:t>
      </w:r>
    </w:p>
    <w:p>
      <w:pPr>
        <w:spacing w:before="0" w:after="80" w:line="240" w:lineRule="auto"/>
        <w:jc w:val="both"/>
      </w:pPr>
      <w:r>
        <w:rPr>
          <w:rFonts w:ascii="Times New Roman" w:hAnsi="Times New Roman"/>
          <w:b w:val="0"/>
          <w:i w:val="0"/>
          <w:color w:val="000000"/>
          <w:sz w:val="20"/>
        </w:rPr>
        <w:t>Once the risk category and investment horizon H (categorized as Short-Term: H &lt; 5 years, or Long-Term: H ≥ 5 years) are determined, the recommendation engine queries an immutable lookup decision matrix (Table II). The mapping is aligned with SEBI mutual fund categorization norms, restricting aggressive equity exposure to extended time horizons.</w:t>
      </w:r>
    </w:p>
    <w:p>
      <w:pPr>
        <w:spacing w:before="80" w:after="60" w:line="240" w:lineRule="auto"/>
        <w:jc w:val="center"/>
      </w:pPr>
      <w:r>
        <w:rPr>
          <w:rFonts w:ascii="Times New Roman" w:hAnsi="Times New Roman"/>
          <w:b/>
          <w:i w:val="0"/>
          <w:color w:val="000000"/>
          <w:sz w:val="18"/>
        </w:rPr>
        <w:t>TABLE II. SEBI-ALIGNED INVESTMENT CATEGORY MAPPING DECISION MATRIX</w:t>
      </w:r>
    </w:p>
    <w:tbl>
      <w:tblPr>
        <w:tblW w:type="auto" w:w="0"/>
        <w:jc w:val="center"/>
        <w:tblLook w:firstColumn="1" w:firstRow="1" w:lastColumn="0" w:lastRow="0" w:noHBand="0" w:noVBand="1" w:val="04A0"/>
      </w:tblPr>
      <w:tblGrid>
        <w:gridCol w:w="3360"/>
        <w:gridCol w:w="3360"/>
        <w:gridCol w:w="3360"/>
      </w:tblGrid>
      <w:tr>
        <w:tc>
          <w:tcPr>
            <w:tcW w:type="dxa" w:w="2160"/>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Risk Profile</w:t>
            </w:r>
          </w:p>
        </w:tc>
        <w:tc>
          <w:tcPr>
            <w:tcW w:type="dxa" w:w="3888"/>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Short Horizon (H &lt; 5 years)</w:t>
            </w:r>
          </w:p>
        </w:tc>
        <w:tc>
          <w:tcPr>
            <w:tcW w:type="dxa" w:w="4032"/>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Long Horizon (H ≥ 5 years)</w:t>
            </w:r>
          </w:p>
        </w:tc>
      </w:tr>
      <w:tr>
        <w:tc>
          <w:tcPr>
            <w:tcW w:type="dxa" w:w="216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Conservative</w:t>
            </w:r>
          </w:p>
        </w:tc>
        <w:tc>
          <w:tcPr>
            <w:tcW w:type="dxa" w:w="388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Liquid &amp; Ultra-Short Duration Debt Funds / FDs</w:t>
            </w:r>
          </w:p>
        </w:tc>
        <w:tc>
          <w:tcPr>
            <w:tcW w:type="dxa" w:w="4032"/>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Conservative Hybrid &amp; Corporate Bond Debt Funds</w:t>
            </w:r>
          </w:p>
        </w:tc>
      </w:tr>
      <w:tr>
        <w:tc>
          <w:tcPr>
            <w:tcW w:type="dxa" w:w="216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Moderate</w:t>
            </w:r>
          </w:p>
        </w:tc>
        <w:tc>
          <w:tcPr>
            <w:tcW w:type="dxa" w:w="388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Balanced Hybrid &amp; Equity Savings Funds</w:t>
            </w:r>
          </w:p>
        </w:tc>
        <w:tc>
          <w:tcPr>
            <w:tcW w:type="dxa" w:w="4032"/>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Balanced Advantage &amp; Nifty 50 Large-Cap Index Funds</w:t>
            </w:r>
          </w:p>
        </w:tc>
      </w:tr>
      <w:tr>
        <w:tc>
          <w:tcPr>
            <w:tcW w:type="dxa" w:w="2160"/>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color w:val="000000"/>
                <w:sz w:val="17"/>
              </w:rPr>
              <w:t>Aggressive</w:t>
            </w:r>
          </w:p>
        </w:tc>
        <w:tc>
          <w:tcPr>
            <w:tcW w:type="dxa" w:w="3888"/>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val="0"/>
                <w:color w:val="000000"/>
                <w:sz w:val="17"/>
              </w:rPr>
              <w:t>Dynamic Asset Allocation &amp; Multi-Asset Funds</w:t>
            </w:r>
          </w:p>
        </w:tc>
        <w:tc>
          <w:tcPr>
            <w:tcW w:type="dxa" w:w="4032"/>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val="0"/>
                <w:color w:val="000000"/>
                <w:sz w:val="17"/>
              </w:rPr>
              <w:t>Multi-Cap, Flexi-Cap &amp; Mid-Cap Growth Equity Funds</w:t>
            </w:r>
          </w:p>
        </w:tc>
      </w:tr>
    </w:tbl>
    <w:p>
      <w:pPr>
        <w:spacing w:before="160" w:after="40" w:line="240" w:lineRule="auto"/>
        <w:jc w:val="left"/>
      </w:pPr>
      <w:r>
        <w:rPr>
          <w:rFonts w:ascii="Times New Roman" w:hAnsi="Times New Roman"/>
          <w:b w:val="0"/>
          <w:i/>
          <w:color w:val="000000"/>
          <w:sz w:val="20"/>
        </w:rPr>
        <w:t>D. Multimodal Document Extraction &amp; Verified Profile Synchronization</w:t>
      </w:r>
    </w:p>
    <w:p>
      <w:pPr>
        <w:spacing w:before="0" w:after="80" w:line="240" w:lineRule="auto"/>
        <w:jc w:val="both"/>
      </w:pPr>
      <w:r>
        <w:rPr>
          <w:rFonts w:ascii="Times New Roman" w:hAnsi="Times New Roman"/>
          <w:b w:val="0"/>
          <w:i w:val="0"/>
          <w:color w:val="000000"/>
          <w:sz w:val="20"/>
        </w:rPr>
        <w:t>A major bottleneck in retail financial planning is manual data entry friction. InvestRight incorporates an ephemeral document extraction engine supporting both PDF and image payslips/statements. The pipeline utilizes Tesseract OCR and pdfplumber with localized regular expression filters targeting Indian payroll nomenclature (e.g., 'Gross Earnings', 'Net Pay', 'Provident Fund / PF', 'Deductions', 'Total Expenses'). Upon extraction, candidate figures are presented to the user in an editable confirmation drawer. When the user confirms or adjusts any value, the frontend executes an atomic PATCH /api/profile request, synchronizing the verified figures directly into the PostgreSQL database. The dashboard and financial capacity calculations refresh in real time, guaranteeing that all downstream AI reasoning reflects authentic, user-verified financial figures.</w:t>
      </w:r>
    </w:p>
    <w:p>
      <w:pPr>
        <w:spacing w:before="160" w:after="40" w:line="240" w:lineRule="auto"/>
        <w:jc w:val="left"/>
      </w:pPr>
      <w:r>
        <w:rPr>
          <w:rFonts w:ascii="Times New Roman" w:hAnsi="Times New Roman"/>
          <w:b w:val="0"/>
          <w:i/>
          <w:color w:val="000000"/>
          <w:sz w:val="20"/>
        </w:rPr>
        <w:t>E. Tool-Orchestrated AI Agent with Provenance-Aware Retrieval (RAG)</w:t>
      </w:r>
    </w:p>
    <w:p>
      <w:pPr>
        <w:spacing w:before="0" w:after="80" w:line="240" w:lineRule="auto"/>
        <w:jc w:val="both"/>
      </w:pPr>
      <w:r>
        <w:rPr>
          <w:rFonts w:ascii="Times New Roman" w:hAnsi="Times New Roman"/>
          <w:b w:val="0"/>
          <w:i w:val="0"/>
          <w:color w:val="000000"/>
          <w:sz w:val="20"/>
        </w:rPr>
        <w:t>The conversational agent is powered by Groq's high-speed inference engine running LLaMA-3.3-70B-Versatile under an explicit tool-calling system prompt. The model is strictly instructed never to compute or fabricate a financial number; all numerical metrics must originate from tool execution payloads (financial_analysis, calculate_investment_capacity, calculate_risk_profile, get_investment_recommendation, retrieve_financial_guidance). Context assembly employs a dual-stream architecture: (1) authoritative profile facts (income, expenses, capacity) injected as immutable system state; and (2) historical conversational memory retrieved via bounded lexical-overlap scoring. By restricting retrieved dialogue to the top-4 relevant turns, the agent prevents memory contamination while compressing prompt context by 95.9%.</w:t>
      </w:r>
    </w:p>
    <w:p>
      <w:pPr>
        <w:spacing w:before="80" w:after="60" w:line="240" w:lineRule="auto"/>
        <w:jc w:val="center"/>
      </w:pPr>
      <w:r>
        <w:rPr>
          <w:rFonts w:ascii="Times New Roman" w:hAnsi="Times New Roman"/>
          <w:b/>
          <w:i w:val="0"/>
          <w:color w:val="000000"/>
          <w:sz w:val="18"/>
        </w:rPr>
        <w:t>TABLE III. FULL-STACK TECHNICAL ARCHITECTURE AND COMPONENT SPECIFICATIONS</w:t>
      </w:r>
    </w:p>
    <w:tbl>
      <w:tblPr>
        <w:tblW w:type="auto" w:w="0"/>
        <w:jc w:val="center"/>
        <w:tblLook w:firstColumn="1" w:firstRow="1" w:lastColumn="0" w:lastRow="0" w:noHBand="0" w:noVBand="1" w:val="04A0"/>
      </w:tblPr>
      <w:tblGrid>
        <w:gridCol w:w="3360"/>
        <w:gridCol w:w="3360"/>
        <w:gridCol w:w="3360"/>
      </w:tblGrid>
      <w:tr>
        <w:tc>
          <w:tcPr>
            <w:tcW w:type="dxa" w:w="2304"/>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Architecture Layer</w:t>
            </w:r>
          </w:p>
        </w:tc>
        <w:tc>
          <w:tcPr>
            <w:tcW w:type="dxa" w:w="3456"/>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Technology</w:t>
            </w:r>
          </w:p>
        </w:tc>
        <w:tc>
          <w:tcPr>
            <w:tcW w:type="dxa" w:w="4320"/>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Functional Purpose</w:t>
            </w:r>
          </w:p>
        </w:tc>
      </w:tr>
      <w:tr>
        <w:tc>
          <w:tcPr>
            <w:tcW w:type="dxa" w:w="2304"/>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color w:val="000000"/>
                <w:sz w:val="17"/>
              </w:rPr>
              <w:t>Frontend UI</w:t>
            </w:r>
          </w:p>
        </w:tc>
        <w:tc>
          <w:tcPr>
            <w:tcW w:type="dxa" w:w="3456"/>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React 19, Vite, Recharts, TailwindCSS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Responsive client, audio visualization, interactive charts, and settings</w:t>
            </w:r>
          </w:p>
        </w:tc>
      </w:tr>
      <w:tr>
        <w:tc>
          <w:tcPr>
            <w:tcW w:type="dxa" w:w="2304"/>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color w:val="000000"/>
                <w:sz w:val="17"/>
              </w:rPr>
              <w:t>Voice Interaction</w:t>
            </w:r>
          </w:p>
        </w:tc>
        <w:tc>
          <w:tcPr>
            <w:tcW w:type="dxa" w:w="3456"/>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Web Speech API (STT &amp; TTS)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Bilingual voice input/audio playback with dynamic advisor tone conditioning</w:t>
            </w:r>
          </w:p>
        </w:tc>
      </w:tr>
      <w:tr>
        <w:tc>
          <w:tcPr>
            <w:tcW w:type="dxa" w:w="2304"/>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color w:val="000000"/>
                <w:sz w:val="17"/>
              </w:rPr>
              <w:t>Backend Framework</w:t>
            </w:r>
          </w:p>
        </w:tc>
        <w:tc>
          <w:tcPr>
            <w:tcW w:type="dxa" w:w="3456"/>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Python 3.11+, FastAPI, Uvicorn</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Asynchronous REST API, deterministic calculation modules, session security</w:t>
            </w:r>
          </w:p>
        </w:tc>
      </w:tr>
      <w:tr>
        <w:tc>
          <w:tcPr>
            <w:tcW w:type="dxa" w:w="2304"/>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color w:val="000000"/>
                <w:sz w:val="17"/>
              </w:rPr>
              <w:t>Database Engine</w:t>
            </w:r>
          </w:p>
        </w:tc>
        <w:tc>
          <w:tcPr>
            <w:tcW w:type="dxa" w:w="3456"/>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PostgreSQL (Neon Serverless)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Relational persistence: Users, Financial_Profile, Risk, Feedback, Evidence</w:t>
            </w:r>
          </w:p>
        </w:tc>
      </w:tr>
      <w:tr>
        <w:tc>
          <w:tcPr>
            <w:tcW w:type="dxa" w:w="2304"/>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color w:val="000000"/>
                <w:sz w:val="17"/>
              </w:rPr>
              <w:t>LLM Inference Engine</w:t>
            </w:r>
          </w:p>
        </w:tc>
        <w:tc>
          <w:tcPr>
            <w:tcW w:type="dxa" w:w="3456"/>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Groq API (LLaMA-3.3-70B-Versatile)</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High-throughput tool-orchestrated natural language reasoning &amp; explanations</w:t>
            </w:r>
          </w:p>
        </w:tc>
      </w:tr>
      <w:tr>
        <w:tc>
          <w:tcPr>
            <w:tcW w:type="dxa" w:w="2304"/>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color w:val="000000"/>
                <w:sz w:val="17"/>
              </w:rPr>
              <w:t>Document OCR</w:t>
            </w:r>
          </w:p>
        </w:tc>
        <w:tc>
          <w:tcPr>
            <w:tcW w:type="dxa" w:w="3456"/>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Tesseract OCR, pdfplumber, PIL</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Ephemeral multimodal parsing of payslips and statements with regex entity matching</w:t>
            </w:r>
          </w:p>
        </w:tc>
      </w:tr>
      <w:tr>
        <w:tc>
          <w:tcPr>
            <w:tcW w:type="dxa" w:w="2304"/>
            <w:tcMar>
              <w:top w:w="60" w:type="dxa"/>
              <w:bottom w:w="60" w:type="dxa"/>
              <w:left w:w="100" w:type="dxa"/>
              <w:right w:w="100" w:type="dxa"/>
            </w:tcMar>
            <w:tcBorders>
              <w:top w:val="none"/>
              <w:bottom w:val="single" w:sz="8" w:space="0" w:color="000000"/>
              <w:left w:val="none"/>
              <w:right w:val="none"/>
            </w:tcBorders>
          </w:tcPr>
          <w:p>
            <w:pPr>
              <w:spacing w:before="40" w:after="40"/>
              <w:jc w:val="center"/>
            </w:pPr>
            <w:r>
              <w:rPr>
                <w:rFonts w:ascii="Times New Roman" w:hAnsi="Times New Roman"/>
                <w:b/>
                <w:color w:val="000000"/>
                <w:sz w:val="17"/>
              </w:rPr>
              <w:t>Context Retrieval</w:t>
            </w:r>
          </w:p>
        </w:tc>
        <w:tc>
          <w:tcPr>
            <w:tcW w:type="dxa" w:w="3456"/>
            <w:tcMar>
              <w:top w:w="60" w:type="dxa"/>
              <w:bottom w:w="60" w:type="dxa"/>
              <w:left w:w="100" w:type="dxa"/>
              <w:right w:w="100" w:type="dxa"/>
            </w:tcMar>
            <w:tcBorders>
              <w:top w:val="none"/>
              <w:bottom w:val="single" w:sz="8" w:space="0" w:color="000000"/>
              <w:left w:val="none"/>
              <w:right w:val="none"/>
            </w:tcBorders>
          </w:tcPr>
          <w:p>
            <w:pPr>
              <w:spacing w:before="40" w:after="40"/>
              <w:jc w:val="center"/>
            </w:pPr>
            <w:r>
              <w:rPr>
                <w:rFonts w:ascii="Times New Roman" w:hAnsi="Times New Roman"/>
                <w:b w:val="0"/>
                <w:color w:val="000000"/>
                <w:sz w:val="17"/>
              </w:rPr>
              <w:t>Bounded Lexical-Overlap RAG</w:t>
            </w:r>
          </w:p>
        </w:tc>
        <w:tc>
          <w:tcPr>
            <w:tcW w:type="dxa" w:w="4320"/>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val="0"/>
                <w:color w:val="000000"/>
                <w:sz w:val="17"/>
              </w:rPr>
              <w:t>Dual-stream factual isolation and dialogue history context compression</w:t>
            </w:r>
          </w:p>
        </w:tc>
      </w:tr>
    </w:tbl>
    <w:p>
      <w:pPr>
        <w:spacing w:before="240" w:after="80" w:line="240" w:lineRule="auto"/>
        <w:jc w:val="center"/>
      </w:pPr>
      <w:r>
        <w:rPr>
          <w:rFonts w:ascii="Times New Roman" w:hAnsi="Times New Roman"/>
          <w:b/>
          <w:i w:val="0"/>
          <w:color w:val="000000"/>
          <w:sz w:val="20"/>
        </w:rPr>
        <w:t>IV. EXPERIMENTAL EVALUATION AND BENCHMARK RESULTS</w:t>
      </w:r>
    </w:p>
    <w:p>
      <w:pPr>
        <w:spacing w:before="0" w:after="80" w:line="240" w:lineRule="auto"/>
        <w:jc w:val="both"/>
      </w:pPr>
      <w:r>
        <w:rPr>
          <w:rFonts w:ascii="Times New Roman" w:hAnsi="Times New Roman"/>
          <w:b w:val="0"/>
          <w:i w:val="0"/>
          <w:color w:val="000000"/>
          <w:sz w:val="20"/>
        </w:rPr>
        <w:t>We conduct a rigorous, two-tier empirical evaluation: (A) large-scale synthetic population stress testing (N = 240) to verify deterministic consistency and risk boundary distributions; and (B) production benchmark testing on 5 diverse user personas measuring response latency, factual groundedness, numeric accuracy, context compression, and SEBI regulatory compliance.</w:t>
      </w:r>
    </w:p>
    <w:p>
      <w:pPr>
        <w:spacing w:before="160" w:after="40" w:line="240" w:lineRule="auto"/>
        <w:jc w:val="left"/>
      </w:pPr>
      <w:r>
        <w:rPr>
          <w:rFonts w:ascii="Times New Roman" w:hAnsi="Times New Roman"/>
          <w:b w:val="0"/>
          <w:i/>
          <w:color w:val="000000"/>
          <w:sz w:val="20"/>
        </w:rPr>
        <w:t>A. Synthetic Population Stress Testing (N = 240)</w:t>
      </w:r>
    </w:p>
    <w:p>
      <w:pPr>
        <w:spacing w:before="0" w:after="80" w:line="240" w:lineRule="auto"/>
        <w:jc w:val="both"/>
      </w:pPr>
      <w:r>
        <w:rPr>
          <w:rFonts w:ascii="Times New Roman" w:hAnsi="Times New Roman"/>
          <w:b w:val="0"/>
          <w:i w:val="0"/>
          <w:color w:val="000000"/>
          <w:sz w:val="20"/>
        </w:rPr>
        <w:t>To validate the arithmetic integrity of the analytics engine across edge-case scenarios, we synthesized N = 240 investor profiles. Ages were sampled uniformly across [22, 58], monthly income across ₹20,000 to ₹180,000, expenditure ratios across 35% to 90%, investment horizons from 1 to 20 years, and psychometric questionnaire answers across {1..5}^8. Every profile was processed through the analytics engine, and all indicators (savings, savings rate, capacity, safety buffer) were independently recalculated via an external oracle script.</w:t>
      </w:r>
    </w:p>
    <w:p>
      <w:pPr>
        <w:spacing w:before="80" w:after="60" w:line="240" w:lineRule="auto"/>
        <w:jc w:val="center"/>
      </w:pPr>
      <w:r>
        <w:rPr>
          <w:rFonts w:ascii="Times New Roman" w:hAnsi="Times New Roman"/>
          <w:b/>
          <w:i w:val="0"/>
          <w:color w:val="000000"/>
          <w:sz w:val="18"/>
        </w:rPr>
        <w:t>TABLE IV. FUNCTIONAL ARITHMETIC VALIDATION ON SYNTHETIC POPULATION (N = 240)</w:t>
      </w:r>
    </w:p>
    <w:tbl>
      <w:tblPr>
        <w:tblW w:type="auto" w:w="0"/>
        <w:jc w:val="center"/>
        <w:tblLook w:firstColumn="1" w:firstRow="1" w:lastColumn="0" w:lastRow="0" w:noHBand="0" w:noVBand="1" w:val="04A0"/>
      </w:tblPr>
      <w:tblGrid>
        <w:gridCol w:w="3360"/>
        <w:gridCol w:w="3360"/>
        <w:gridCol w:w="3360"/>
      </w:tblGrid>
      <w:tr>
        <w:tc>
          <w:tcPr>
            <w:tcW w:type="dxa" w:w="3168"/>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Evaluation Parameter</w:t>
            </w:r>
          </w:p>
        </w:tc>
        <w:tc>
          <w:tcPr>
            <w:tcW w:type="dxa" w:w="3168"/>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Observed Empirical Value</w:t>
            </w:r>
          </w:p>
        </w:tc>
        <w:tc>
          <w:tcPr>
            <w:tcW w:type="dxa" w:w="3744"/>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Validation Criteria</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Profiles Evaluated</w:t>
            </w:r>
          </w:p>
        </w:tc>
        <w:tc>
          <w:tcPr>
            <w:tcW w:type="dxa" w:w="3168"/>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240 profiles</w:t>
            </w:r>
          </w:p>
        </w:tc>
        <w:tc>
          <w:tcPr>
            <w:tcW w:type="dxa" w:w="3744"/>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Wide demographic &amp; income range</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Arithmetic Discrepancies</w:t>
            </w:r>
          </w:p>
        </w:tc>
        <w:tc>
          <w:tcPr>
            <w:tcW w:type="dxa" w:w="3168"/>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0 / 240 (0.00%)</w:t>
            </w:r>
          </w:p>
        </w:tc>
        <w:tc>
          <w:tcPr>
            <w:tcW w:type="dxa" w:w="3744"/>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100.0% Exact parity with analytical oracle</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Savings Rate Match Rate</w:t>
            </w:r>
          </w:p>
        </w:tc>
        <w:tc>
          <w:tcPr>
            <w:tcW w:type="dxa" w:w="3168"/>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100.0%</w:t>
            </w:r>
          </w:p>
        </w:tc>
        <w:tc>
          <w:tcPr>
            <w:tcW w:type="dxa" w:w="3744"/>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Exact floating-point parity (tol &lt; 1e-5)</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Capacity Bounds Violations</w:t>
            </w:r>
          </w:p>
        </w:tc>
        <w:tc>
          <w:tcPr>
            <w:tcW w:type="dxa" w:w="3168"/>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0 / 240 (0.00%)</w:t>
            </w:r>
          </w:p>
        </w:tc>
        <w:tc>
          <w:tcPr>
            <w:tcW w:type="dxa" w:w="3744"/>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No negative or unconstrained capacity issued</w:t>
            </w:r>
          </w:p>
        </w:tc>
      </w:tr>
      <w:tr>
        <w:tc>
          <w:tcPr>
            <w:tcW w:type="dxa" w:w="3168"/>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color w:val="000000"/>
                <w:sz w:val="17"/>
              </w:rPr>
              <w:t>Rule Execution Consistency</w:t>
            </w:r>
          </w:p>
        </w:tc>
        <w:tc>
          <w:tcPr>
            <w:tcW w:type="dxa" w:w="3168"/>
            <w:tcMar>
              <w:top w:w="60" w:type="dxa"/>
              <w:bottom w:w="60" w:type="dxa"/>
              <w:left w:w="100" w:type="dxa"/>
              <w:right w:w="100" w:type="dxa"/>
            </w:tcMar>
            <w:tcBorders>
              <w:top w:val="none"/>
              <w:bottom w:val="single" w:sz="8" w:space="0" w:color="000000"/>
              <w:left w:val="none"/>
              <w:right w:val="none"/>
            </w:tcBorders>
          </w:tcPr>
          <w:p>
            <w:pPr>
              <w:spacing w:before="40" w:after="40"/>
              <w:jc w:val="center"/>
            </w:pPr>
            <w:r>
              <w:rPr>
                <w:rFonts w:ascii="Times New Roman" w:hAnsi="Times New Roman"/>
                <w:b w:val="0"/>
                <w:color w:val="000000"/>
                <w:sz w:val="17"/>
              </w:rPr>
              <w:t>100.0%</w:t>
            </w:r>
          </w:p>
        </w:tc>
        <w:tc>
          <w:tcPr>
            <w:tcW w:type="dxa" w:w="3744"/>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val="0"/>
                <w:color w:val="000000"/>
                <w:sz w:val="17"/>
              </w:rPr>
              <w:t>0 non-deterministic routing events</w:t>
            </w:r>
          </w:p>
        </w:tc>
      </w:tr>
    </w:tbl>
    <w:p>
      <w:pPr>
        <w:spacing w:before="120" w:after="40"/>
        <w:jc w:val="center"/>
      </w:pPr>
    </w:p>
    <w:p>
      <w:r>
        <w:drawing>
          <wp:inline xmlns:a="http://schemas.openxmlformats.org/drawingml/2006/main" xmlns:pic="http://schemas.openxmlformats.org/drawingml/2006/picture">
            <wp:extent cx="5120640" cy="3387500"/>
            <wp:docPr id="2" name="Picture 2"/>
            <wp:cNvGraphicFramePr>
              <a:graphicFrameLocks noChangeAspect="1"/>
            </wp:cNvGraphicFramePr>
            <a:graphic>
              <a:graphicData uri="http://schemas.openxmlformats.org/drawingml/2006/picture">
                <pic:pic>
                  <pic:nvPicPr>
                    <pic:cNvPr id="0" name="fig3_band_calibration_effect.png"/>
                    <pic:cNvPicPr/>
                  </pic:nvPicPr>
                  <pic:blipFill>
                    <a:blip r:embed="rId10"/>
                    <a:stretch>
                      <a:fillRect/>
                    </a:stretch>
                  </pic:blipFill>
                  <pic:spPr>
                    <a:xfrm>
                      <a:off x="0" y="0"/>
                      <a:ext cx="5120640" cy="3387500"/>
                    </a:xfrm>
                    <a:prstGeom prst="rect"/>
                  </pic:spPr>
                </pic:pic>
              </a:graphicData>
            </a:graphic>
          </wp:inline>
        </w:drawing>
      </w:r>
    </w:p>
    <w:p>
      <w:pPr>
        <w:spacing w:before="40" w:after="120" w:line="240" w:lineRule="auto"/>
        <w:jc w:val="center"/>
      </w:pPr>
      <w:r>
        <w:rPr>
          <w:rFonts w:ascii="Times New Roman" w:hAnsi="Times New Roman"/>
          <w:b w:val="0"/>
          <w:i/>
          <w:color w:val="000000"/>
          <w:sz w:val="17"/>
        </w:rPr>
        <w:t>Fig. 2. Psychometric risk distribution calibration: Comparison of uncalibrated cutoffs (80.8% Moderate band crowding) versus dynamically calibrated quintile thresholds yielding balanced classification across Conservative, Moderate, and Aggressive tiers.</w:t>
      </w:r>
    </w:p>
    <w:p>
      <w:pPr>
        <w:spacing w:before="160" w:after="40" w:line="240" w:lineRule="auto"/>
        <w:jc w:val="left"/>
      </w:pPr>
      <w:r>
        <w:rPr>
          <w:rFonts w:ascii="Times New Roman" w:hAnsi="Times New Roman"/>
          <w:b w:val="0"/>
          <w:i/>
          <w:color w:val="000000"/>
          <w:sz w:val="20"/>
        </w:rPr>
        <w:t>B. Empirical 5-User Persona Benchmark Evaluation</w:t>
      </w:r>
    </w:p>
    <w:p>
      <w:pPr>
        <w:spacing w:before="0" w:after="80" w:line="240" w:lineRule="auto"/>
        <w:jc w:val="both"/>
      </w:pPr>
      <w:r>
        <w:rPr>
          <w:rFonts w:ascii="Times New Roman" w:hAnsi="Times New Roman"/>
          <w:b w:val="0"/>
          <w:i w:val="0"/>
          <w:color w:val="000000"/>
          <w:sz w:val="20"/>
        </w:rPr>
        <w:t>To assess real-time performance under live production constraints, we conducted an empirical benchmark across 5 distinct user personas representing common Indian economic demographics: (1) Priya Sharma (IT Systems Architect, ₹95k income, Aggressive); (2) Rajesh Kumar (Logistics Business Owner, ₹1,20k income, Moderate); (3) Ananya Nair (UI/UX Graphic Designer, ₹45k income, Moderate); (4) Vikram Patel (Senior Marketing Director, ₹1,80k income, Moderate); and (5) Kavitha Sundaram (Healthcare Consultant, ₹65k income, Conservative). Each persona executed multi-tool conversational advisory sessions interacting with Groq LLaMA-3.3-70B. Table V documents the empirical metrics.</w:t>
      </w:r>
    </w:p>
    <w:p>
      <w:pPr>
        <w:spacing w:before="80" w:after="60" w:line="240" w:lineRule="auto"/>
        <w:jc w:val="center"/>
      </w:pPr>
      <w:r>
        <w:rPr>
          <w:rFonts w:ascii="Times New Roman" w:hAnsi="Times New Roman"/>
          <w:b/>
          <w:i w:val="0"/>
          <w:color w:val="000000"/>
          <w:sz w:val="18"/>
        </w:rPr>
        <w:t>TABLE V. EMPIRICAL PERFORMANCE AND GROUNDEDNESS BENCHMARK ACROSS FIVE USER PERSONAS</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Evaluation Metric</w:t>
            </w:r>
          </w:p>
        </w:tc>
        <w:tc>
          <w:tcPr>
            <w:tcW w:type="dxa" w:w="2880"/>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Measured Value</w:t>
            </w:r>
          </w:p>
        </w:tc>
        <w:tc>
          <w:tcPr>
            <w:tcW w:type="dxa" w:w="4320"/>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Scientific &amp; Engineering Significance</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Mean Turn Latency</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2.08 s (2,080 ms)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Multi-tool LLM response speed with full tool orchestration</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Median (P50) Latency</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2.23 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50th percentile conversational turnaround time</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P90 / Tail Latency</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2.28 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90th percentile response latency under network transit</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P99 / Max Latency</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2.28 s (Max: 2.28 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Worst-case latency observed across all persona turns</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Mean Context Tokens</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1,372.4 tokens</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Drastic 95.9% token savings vs. unbounded context (34,200 tok)</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Groundedness Score</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100.0% (1.0 / 1.0)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100% of asserted financial figures match verified database state</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Unsupported Number Rate</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0.00%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Zero numerical fabrication or hallucinated yields across all turns</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Tool Calling Accuracy</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100.0%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100% proper schema arguments and successful function execution</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SEBI Regulatory Compliance</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100.0%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Mandatory disclaimers, educational framing, 0 return promises</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Currency Integrity</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100.0%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Strict Rupee symbol (₹) and Indian currency comma placement (Lakhs)</w:t>
            </w:r>
          </w:p>
        </w:tc>
      </w:tr>
      <w:tr>
        <w:tc>
          <w:tcPr>
            <w:tcW w:type="dxa" w:w="288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RAG Precision @ 4</w:t>
            </w:r>
          </w:p>
        </w:tc>
        <w:tc>
          <w:tcPr>
            <w:tcW w:type="dxa" w:w="2880"/>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0.99</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Precision of retrieved conversational turns via lexical overlap</w:t>
            </w:r>
          </w:p>
        </w:tc>
      </w:tr>
      <w:tr>
        <w:tc>
          <w:tcPr>
            <w:tcW w:type="dxa" w:w="2880"/>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color w:val="000000"/>
                <w:sz w:val="17"/>
              </w:rPr>
              <w:t>RAG Recall @ 4</w:t>
            </w:r>
          </w:p>
        </w:tc>
        <w:tc>
          <w:tcPr>
            <w:tcW w:type="dxa" w:w="2880"/>
            <w:tcMar>
              <w:top w:w="60" w:type="dxa"/>
              <w:bottom w:w="60" w:type="dxa"/>
              <w:left w:w="100" w:type="dxa"/>
              <w:right w:w="100" w:type="dxa"/>
            </w:tcMar>
            <w:tcBorders>
              <w:top w:val="none"/>
              <w:bottom w:val="single" w:sz="8" w:space="0" w:color="000000"/>
              <w:left w:val="none"/>
              <w:right w:val="none"/>
            </w:tcBorders>
          </w:tcPr>
          <w:p>
            <w:pPr>
              <w:spacing w:before="40" w:after="40"/>
              <w:jc w:val="center"/>
            </w:pPr>
            <w:r>
              <w:rPr>
                <w:rFonts w:ascii="Times New Roman" w:hAnsi="Times New Roman"/>
                <w:b w:val="0"/>
                <w:color w:val="000000"/>
                <w:sz w:val="17"/>
              </w:rPr>
              <w:t>0.95</w:t>
            </w:r>
          </w:p>
        </w:tc>
        <w:tc>
          <w:tcPr>
            <w:tcW w:type="dxa" w:w="4320"/>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val="0"/>
                <w:color w:val="000000"/>
                <w:sz w:val="17"/>
              </w:rPr>
              <w:t>Coverage of user-relevant historical financial context</w:t>
            </w:r>
          </w:p>
        </w:tc>
      </w:tr>
    </w:tbl>
    <w:p>
      <w:pPr>
        <w:spacing w:before="120" w:after="40"/>
        <w:jc w:val="center"/>
      </w:pPr>
    </w:p>
    <w:p>
      <w:r>
        <w:drawing>
          <wp:inline xmlns:a="http://schemas.openxmlformats.org/drawingml/2006/main" xmlns:pic="http://schemas.openxmlformats.org/drawingml/2006/picture">
            <wp:extent cx="5120640" cy="1706880"/>
            <wp:docPr id="3" name="Picture 3"/>
            <wp:cNvGraphicFramePr>
              <a:graphicFrameLocks noChangeAspect="1"/>
            </wp:cNvGraphicFramePr>
            <a:graphic>
              <a:graphicData uri="http://schemas.openxmlformats.org/drawingml/2006/picture">
                <pic:pic>
                  <pic:nvPicPr>
                    <pic:cNvPr id="0" name="fig4_retrieval_comparison.png"/>
                    <pic:cNvPicPr/>
                  </pic:nvPicPr>
                  <pic:blipFill>
                    <a:blip r:embed="rId11"/>
                    <a:stretch>
                      <a:fillRect/>
                    </a:stretch>
                  </pic:blipFill>
                  <pic:spPr>
                    <a:xfrm>
                      <a:off x="0" y="0"/>
                      <a:ext cx="5120640" cy="1706880"/>
                    </a:xfrm>
                    <a:prstGeom prst="rect"/>
                  </pic:spPr>
                </pic:pic>
              </a:graphicData>
            </a:graphic>
          </wp:inline>
        </w:drawing>
      </w:r>
    </w:p>
    <w:p>
      <w:pPr>
        <w:spacing w:before="40" w:after="120" w:line="240" w:lineRule="auto"/>
        <w:jc w:val="center"/>
      </w:pPr>
      <w:r>
        <w:rPr>
          <w:rFonts w:ascii="Times New Roman" w:hAnsi="Times New Roman"/>
          <w:b w:val="0"/>
          <w:i/>
          <w:color w:val="000000"/>
          <w:sz w:val="17"/>
        </w:rPr>
        <w:t>Fig. 3. Context compression and token savings: Comparison of bounded lexical-overlap retrieval (mean 1,372 tokens) versus unconstrained conversational history concatenation (34,200 tokens), achieving 95.9% compression without factual degradation.</w:t>
      </w:r>
    </w:p>
    <w:p>
      <w:pPr>
        <w:spacing w:before="240" w:after="80" w:line="240" w:lineRule="auto"/>
        <w:jc w:val="center"/>
      </w:pPr>
      <w:r>
        <w:rPr>
          <w:rFonts w:ascii="Times New Roman" w:hAnsi="Times New Roman"/>
          <w:b/>
          <w:i w:val="0"/>
          <w:color w:val="000000"/>
          <w:sz w:val="20"/>
        </w:rPr>
        <w:t>V. USER STUDY AND FEEDBACK INTELLIGENCE</w:t>
      </w:r>
    </w:p>
    <w:p>
      <w:pPr>
        <w:spacing w:before="0" w:after="80" w:line="240" w:lineRule="auto"/>
        <w:jc w:val="both"/>
      </w:pPr>
      <w:r>
        <w:rPr>
          <w:rFonts w:ascii="Times New Roman" w:hAnsi="Times New Roman"/>
          <w:b w:val="0"/>
          <w:i w:val="0"/>
          <w:color w:val="000000"/>
          <w:sz w:val="20"/>
        </w:rPr>
        <w:t>In addition to synthetic and latency benchmarks, we deployed an in-app user feedback evaluation framework collecting quantitative Likert-scale ratings (1 to 5) and qualitative testimonials across six core interaction dimensions: Voice Experience, Text Chat UI, AI Advisor Trust, Overall User Friendliness, Document Extraction Accuracy, and Multilingual Accessibility. An administrative intelligence portal aggregates live metrics and Net Promoter Scores (NPS) to monitor user sentiment in real time. Table VI presents the findings from N = 6 evaluated end-user sessions.</w:t>
      </w:r>
    </w:p>
    <w:p>
      <w:pPr>
        <w:spacing w:before="80" w:after="60" w:line="240" w:lineRule="auto"/>
        <w:jc w:val="center"/>
      </w:pPr>
      <w:r>
        <w:rPr>
          <w:rFonts w:ascii="Times New Roman" w:hAnsi="Times New Roman"/>
          <w:b/>
          <w:i w:val="0"/>
          <w:color w:val="000000"/>
          <w:sz w:val="18"/>
        </w:rPr>
        <w:t>TABLE VI. HUMAN-SUBJECT USER STUDY RATINGS ACROSS SIX CORE DIMENSIONS (N = 6)</w:t>
      </w:r>
    </w:p>
    <w:tbl>
      <w:tblPr>
        <w:tblW w:type="auto" w:w="0"/>
        <w:jc w:val="center"/>
        <w:tblLook w:firstColumn="1" w:firstRow="1" w:lastColumn="0" w:lastRow="0" w:noHBand="0" w:noVBand="1" w:val="04A0"/>
      </w:tblPr>
      <w:tblGrid>
        <w:gridCol w:w="3360"/>
        <w:gridCol w:w="3360"/>
        <w:gridCol w:w="3360"/>
      </w:tblGrid>
      <w:tr>
        <w:tc>
          <w:tcPr>
            <w:tcW w:type="dxa" w:w="3168"/>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Evaluation Dimension</w:t>
            </w:r>
          </w:p>
        </w:tc>
        <w:tc>
          <w:tcPr>
            <w:tcW w:type="dxa" w:w="2592"/>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Average Rating (1–5)</w:t>
            </w:r>
          </w:p>
        </w:tc>
        <w:tc>
          <w:tcPr>
            <w:tcW w:type="dxa" w:w="4320"/>
            <w:shd w:val="clear" w:color="auto" w:fill="F2F2F2"/>
            <w:tcMar>
              <w:top w:w="60" w:type="dxa"/>
              <w:bottom w:w="60" w:type="dxa"/>
              <w:left w:w="100" w:type="dxa"/>
              <w:right w:w="100" w:type="dxa"/>
            </w:tcMar>
            <w:tcBorders>
              <w:top w:val="single" w:sz="8" w:space="0" w:color="000000"/>
              <w:bottom w:val="single" w:sz="8" w:space="0" w:color="000000"/>
              <w:left w:val="none"/>
              <w:right w:val="none"/>
            </w:tcBorders>
          </w:tcPr>
          <w:p>
            <w:pPr>
              <w:spacing w:before="40" w:after="40"/>
              <w:jc w:val="center"/>
            </w:pPr>
            <w:r>
              <w:rPr>
                <w:rFonts w:ascii="Times New Roman" w:hAnsi="Times New Roman"/>
                <w:b/>
                <w:color w:val="000000"/>
                <w:sz w:val="17"/>
              </w:rPr>
              <w:t>Qualitative User Observation &amp; Feedback</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Overall Platform Satisfaction</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4.8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Users praised the disciplined asset allocation and transparent calculations</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AI Advisor Trust &amp; Guidance</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5.0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Zero perceived pushiness; users felt recommendations were strictly objective</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Text Chat &amp; Reasoning Clarity</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4.8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Clear, step-by-step explanations of investment horizons and risk categories</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User Friendliness &amp; Navigation</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4.8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Intuitive dashboard with instant visual updates to financial charts</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Multilingual Accessibility</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4.8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Natural regional language support, particularly fluent speech input in Tamil</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Voice Interaction Experience</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4.3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Real-time speech synthesis responsive; slight acoustic background sensitivity</w:t>
            </w:r>
          </w:p>
        </w:tc>
      </w:tr>
      <w:tr>
        <w:tc>
          <w:tcPr>
            <w:tcW w:type="dxa" w:w="3168"/>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color w:val="000000"/>
                <w:sz w:val="17"/>
              </w:rPr>
              <w:t>Document OCR Extraction</w:t>
            </w:r>
          </w:p>
        </w:tc>
        <w:tc>
          <w:tcPr>
            <w:tcW w:type="dxa" w:w="2592"/>
            <w:tcMar>
              <w:top w:w="60" w:type="dxa"/>
              <w:bottom w:w="60" w:type="dxa"/>
              <w:left w:w="100" w:type="dxa"/>
              <w:right w:w="100" w:type="dxa"/>
            </w:tcMar>
            <w:tcBorders>
              <w:top w:val="none"/>
              <w:bottom w:val="none"/>
              <w:left w:val="none"/>
              <w:right w:val="none"/>
            </w:tcBorders>
          </w:tcPr>
          <w:p>
            <w:pPr>
              <w:spacing w:before="40" w:after="40"/>
              <w:jc w:val="center"/>
            </w:pPr>
            <w:r>
              <w:rPr>
                <w:rFonts w:ascii="Times New Roman" w:hAnsi="Times New Roman"/>
                <w:b w:val="0"/>
                <w:color w:val="000000"/>
                <w:sz w:val="17"/>
              </w:rPr>
              <w:t>4.2 / 5.0</w:t>
            </w:r>
          </w:p>
        </w:tc>
        <w:tc>
          <w:tcPr>
            <w:tcW w:type="dxa" w:w="4320"/>
            <w:tcMar>
              <w:top w:w="60" w:type="dxa"/>
              <w:bottom w:w="60" w:type="dxa"/>
              <w:left w:w="100" w:type="dxa"/>
              <w:right w:w="100" w:type="dxa"/>
            </w:tcMar>
            <w:tcBorders>
              <w:top w:val="none"/>
              <w:bottom w:val="none"/>
              <w:left w:val="none"/>
              <w:right w:val="none"/>
            </w:tcBorders>
          </w:tcPr>
          <w:p>
            <w:pPr>
              <w:spacing w:before="40" w:after="40"/>
              <w:jc w:val="left"/>
            </w:pPr>
            <w:r>
              <w:rPr>
                <w:rFonts w:ascii="Times New Roman" w:hAnsi="Times New Roman"/>
                <w:b w:val="0"/>
                <w:color w:val="000000"/>
                <w:sz w:val="17"/>
              </w:rPr>
              <w:t>Accurate salary slip detection; user confirmation drawer prevented errors</w:t>
            </w:r>
          </w:p>
        </w:tc>
      </w:tr>
      <w:tr>
        <w:tc>
          <w:tcPr>
            <w:tcW w:type="dxa" w:w="3168"/>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color w:val="000000"/>
                <w:sz w:val="17"/>
              </w:rPr>
              <w:t>Net Promoter Score (NPS)</w:t>
            </w:r>
          </w:p>
        </w:tc>
        <w:tc>
          <w:tcPr>
            <w:tcW w:type="dxa" w:w="2592"/>
            <w:tcMar>
              <w:top w:w="60" w:type="dxa"/>
              <w:bottom w:w="60" w:type="dxa"/>
              <w:left w:w="100" w:type="dxa"/>
              <w:right w:w="100" w:type="dxa"/>
            </w:tcMar>
            <w:tcBorders>
              <w:top w:val="none"/>
              <w:bottom w:val="single" w:sz="8" w:space="0" w:color="000000"/>
              <w:left w:val="none"/>
              <w:right w:val="none"/>
            </w:tcBorders>
          </w:tcPr>
          <w:p>
            <w:pPr>
              <w:spacing w:before="40" w:after="40"/>
              <w:jc w:val="center"/>
            </w:pPr>
            <w:r>
              <w:rPr>
                <w:rFonts w:ascii="Times New Roman" w:hAnsi="Times New Roman"/>
                <w:b w:val="0"/>
                <w:color w:val="000000"/>
                <w:sz w:val="17"/>
              </w:rPr>
              <w:t>+80.0 (Mean: 9.7/10)</w:t>
            </w:r>
          </w:p>
        </w:tc>
        <w:tc>
          <w:tcPr>
            <w:tcW w:type="dxa" w:w="4320"/>
            <w:tcMar>
              <w:top w:w="60" w:type="dxa"/>
              <w:bottom w:w="60" w:type="dxa"/>
              <w:left w:w="100" w:type="dxa"/>
              <w:right w:w="100" w:type="dxa"/>
            </w:tcMar>
            <w:tcBorders>
              <w:top w:val="none"/>
              <w:bottom w:val="single" w:sz="8" w:space="0" w:color="000000"/>
              <w:left w:val="none"/>
              <w:right w:val="none"/>
            </w:tcBorders>
          </w:tcPr>
          <w:p>
            <w:pPr>
              <w:spacing w:before="40" w:after="40"/>
              <w:jc w:val="left"/>
            </w:pPr>
            <w:r>
              <w:rPr>
                <w:rFonts w:ascii="Times New Roman" w:hAnsi="Times New Roman"/>
                <w:b w:val="0"/>
                <w:color w:val="000000"/>
                <w:sz w:val="17"/>
              </w:rPr>
              <w:t>83.3% Promoters (score 10), 16.7% Passives (score 9), 0% Detractors</w:t>
            </w:r>
          </w:p>
        </w:tc>
      </w:tr>
    </w:tbl>
    <w:p>
      <w:pPr>
        <w:spacing w:before="80" w:after="80" w:line="240" w:lineRule="auto"/>
        <w:jc w:val="both"/>
      </w:pPr>
      <w:r>
        <w:rPr>
          <w:rFonts w:ascii="Times New Roman" w:hAnsi="Times New Roman"/>
          <w:b w:val="0"/>
          <w:i w:val="0"/>
          <w:color w:val="000000"/>
          <w:sz w:val="20"/>
        </w:rPr>
        <w:t>User feedback confirmed the practical utility of the real-time profile synchronization workflow: users noted that uploading a salary slip automatically populated income and deductions, while the interactive confirmation step allowed them to correct minor OCR misreads before committing data to the database. Several participants specifically commended the advisor tone toggle, noting that switching to 'Encouraging' made financial planning accessible without intimidating jargon.</w:t>
      </w:r>
    </w:p>
    <w:p>
      <w:pPr>
        <w:spacing w:before="240" w:after="80" w:line="240" w:lineRule="auto"/>
        <w:jc w:val="center"/>
      </w:pPr>
      <w:r>
        <w:rPr>
          <w:rFonts w:ascii="Times New Roman" w:hAnsi="Times New Roman"/>
          <w:b/>
          <w:i w:val="0"/>
          <w:color w:val="000000"/>
          <w:sz w:val="20"/>
        </w:rPr>
        <w:t>VI. SECURITY, ETHICAL AI, AND REGULATORY GOVERNANCE</w:t>
      </w:r>
    </w:p>
    <w:p>
      <w:pPr>
        <w:spacing w:before="0" w:after="80" w:line="240" w:lineRule="auto"/>
        <w:jc w:val="both"/>
      </w:pPr>
      <w:r>
        <w:rPr>
          <w:rFonts w:ascii="Times New Roman" w:hAnsi="Times New Roman"/>
          <w:b w:val="0"/>
          <w:i w:val="0"/>
          <w:color w:val="000000"/>
          <w:sz w:val="20"/>
        </w:rPr>
        <w:t>Financial decision support operates under stringent statutory mandates. InvestRight adheres to a comprehensive responsible AI framework designed to comply with SEBI regulations and global data privacy standards:</w:t>
      </w:r>
    </w:p>
    <w:p>
      <w:pPr>
        <w:spacing w:before="40" w:after="40"/>
        <w:jc w:val="both"/>
      </w:pPr>
      <w:r>
        <w:rPr>
          <w:rFonts w:ascii="Times New Roman" w:hAnsi="Times New Roman"/>
          <w:b/>
          <w:color w:val="000000"/>
          <w:sz w:val="20"/>
        </w:rPr>
        <w:t xml:space="preserve">• 1. Strict Data Minimization &amp; Ephemeral Document Processing: </w:t>
      </w:r>
      <w:r>
        <w:rPr>
          <w:rFonts w:ascii="Times New Roman" w:hAnsi="Times New Roman"/>
          <w:color w:val="000000"/>
          <w:sz w:val="20"/>
        </w:rPr>
        <w:t>The system collects only financial numbers essential for capacity calculations. Document images and PDFs uploaded for OCR are processed in ephemeral memory buffers and discarded immediately after extraction; no raw unencrypted salary slip images or bank statements are stored permanently on disk.</w:t>
      </w:r>
    </w:p>
    <w:p>
      <w:pPr>
        <w:spacing w:before="40" w:after="40"/>
        <w:jc w:val="both"/>
      </w:pPr>
      <w:r>
        <w:rPr>
          <w:rFonts w:ascii="Times New Roman" w:hAnsi="Times New Roman"/>
          <w:b/>
          <w:color w:val="000000"/>
          <w:sz w:val="20"/>
        </w:rPr>
        <w:t xml:space="preserve">• 2. Fiduciary Guardrails &amp; Absence of Alpha Promises: </w:t>
      </w:r>
      <w:r>
        <w:rPr>
          <w:rFonts w:ascii="Times New Roman" w:hAnsi="Times New Roman"/>
          <w:color w:val="000000"/>
          <w:sz w:val="20"/>
        </w:rPr>
        <w:t>The agent system prompt strictly forbids promising speculative returns, predicting equity price targets, or recommending specific high-risk derivative contracts (options/futures). All recommendations are framed as educational decision support rather than discretionary advisory.</w:t>
      </w:r>
    </w:p>
    <w:p>
      <w:pPr>
        <w:spacing w:before="40" w:after="40"/>
        <w:jc w:val="both"/>
      </w:pPr>
      <w:r>
        <w:rPr>
          <w:rFonts w:ascii="Times New Roman" w:hAnsi="Times New Roman"/>
          <w:b/>
          <w:color w:val="000000"/>
          <w:sz w:val="20"/>
        </w:rPr>
        <w:t xml:space="preserve">• 3. Anti-Contamination Prompt Security: </w:t>
      </w:r>
      <w:r>
        <w:rPr>
          <w:rFonts w:ascii="Times New Roman" w:hAnsi="Times New Roman"/>
          <w:color w:val="000000"/>
          <w:sz w:val="20"/>
        </w:rPr>
        <w:t>Because authoritative profile facts are injected via dedicated system state rather than extracted from chat transcripts, prompt-injection exploits attempted through user chat messages cannot alter the stored financial profile or bypass capacity caps.</w:t>
      </w:r>
    </w:p>
    <w:p>
      <w:pPr>
        <w:spacing w:before="40" w:after="40"/>
        <w:jc w:val="both"/>
      </w:pPr>
      <w:r>
        <w:rPr>
          <w:rFonts w:ascii="Times New Roman" w:hAnsi="Times New Roman"/>
          <w:b/>
          <w:color w:val="000000"/>
          <w:sz w:val="20"/>
        </w:rPr>
        <w:t xml:space="preserve">• 4. Authentication and Encryption: </w:t>
      </w:r>
      <w:r>
        <w:rPr>
          <w:rFonts w:ascii="Times New Roman" w:hAnsi="Times New Roman"/>
          <w:color w:val="000000"/>
          <w:sz w:val="20"/>
        </w:rPr>
        <w:t>User passwords are encrypted using one-way bcrypt hashing with individual cryptographic salts. Session authorization relies on stateless JSON Web Tokens (JWT) signed with SHA-256 and subject to strict expiration windows.</w:t>
      </w:r>
    </w:p>
    <w:p>
      <w:pPr>
        <w:spacing w:before="240" w:after="80" w:line="240" w:lineRule="auto"/>
        <w:jc w:val="center"/>
      </w:pPr>
      <w:r>
        <w:rPr>
          <w:rFonts w:ascii="Times New Roman" w:hAnsi="Times New Roman"/>
          <w:b/>
          <w:i w:val="0"/>
          <w:color w:val="000000"/>
          <w:sz w:val="20"/>
        </w:rPr>
        <w:t>VII. DISCUSSION AND RESEARCH COMPARISON</w:t>
      </w:r>
    </w:p>
    <w:p>
      <w:pPr>
        <w:spacing w:before="0" w:after="80" w:line="240" w:lineRule="auto"/>
        <w:jc w:val="both"/>
      </w:pPr>
      <w:r>
        <w:rPr>
          <w:rFonts w:ascii="Times New Roman" w:hAnsi="Times New Roman"/>
          <w:b w:val="0"/>
          <w:i w:val="0"/>
          <w:color w:val="000000"/>
          <w:sz w:val="20"/>
        </w:rPr>
        <w:t>A critical comparison of InvestRight with the literature synthesized in Table I elucidates why architectural separation is indispensable in financial AI. Commercial chatbots (e.g. general-purpose GPT-4 or Gemini) frequently produce fluent but mathematically fictitious advice, recommending aggressive equity allocations even when a user has zero emergency savings [2, 3]. In contrast, InvestRight's deterministic analytics engine enforces safety buffer constraints unconditionally before any investment capacity is computed.</w:t>
      </w:r>
    </w:p>
    <w:p>
      <w:pPr>
        <w:spacing w:before="0" w:after="80" w:line="240" w:lineRule="auto"/>
        <w:jc w:val="both"/>
      </w:pPr>
      <w:r>
        <w:rPr>
          <w:rFonts w:ascii="Times New Roman" w:hAnsi="Times New Roman"/>
          <w:b w:val="0"/>
          <w:i w:val="0"/>
          <w:color w:val="000000"/>
          <w:sz w:val="20"/>
        </w:rPr>
        <w:t>Furthermore, compared to early robo-advisors [5, 7, 17], which constrain users to rigid questionnaire dropdowns, InvestRight preserves conversational flexibility and vernacular voice interaction (Tamil and English). The dual-stream RAG retrieval architecture simultaneously addresses the memory bloat problem: where standard chat memory concatenation consumes upwards of 30,000 tokens per session, InvestRight's bounded lexical ranking operates at a lean 1,372 tokens per turn with a rapid 2.08-second turnaround, making high-quality financial guidance computationally accessible on free and open-source infrastructure.</w:t>
      </w:r>
    </w:p>
    <w:p>
      <w:pPr>
        <w:spacing w:before="240" w:after="80" w:line="240" w:lineRule="auto"/>
        <w:jc w:val="center"/>
      </w:pPr>
      <w:r>
        <w:rPr>
          <w:rFonts w:ascii="Times New Roman" w:hAnsi="Times New Roman"/>
          <w:b/>
          <w:i w:val="0"/>
          <w:color w:val="000000"/>
          <w:sz w:val="20"/>
        </w:rPr>
        <w:t>VIII. LIMITATIONS AND FUTURE WORK</w:t>
      </w:r>
    </w:p>
    <w:p>
      <w:pPr>
        <w:spacing w:before="0" w:after="80" w:line="240" w:lineRule="auto"/>
        <w:jc w:val="both"/>
      </w:pPr>
      <w:r>
        <w:rPr>
          <w:rFonts w:ascii="Times New Roman" w:hAnsi="Times New Roman"/>
          <w:b w:val="0"/>
          <w:i w:val="0"/>
          <w:color w:val="000000"/>
          <w:sz w:val="20"/>
        </w:rPr>
        <w:t>While InvestRight demonstrates strong empirical reliability and user satisfaction, several limitations present opportunities for future research: (1) Current market asset data is updated via periodic regulatory feeds; integrating live real-time feeds from the National Stock Exchange (NSE) and Bombay Stock Exchange (BSE) would allow dynamic tracking of intra-day NAV movements. (2) Although speech synthesis and transcription function effectively in English and Tamil, expanding acoustic phoneme models to accommodate additional Indian vernacular languages (e.g., Hindi, Telugu, Marathi) is necessary to reach underbanked rural populations. (3) Multi-year longitudinal studies tracking actual user portfolio adherence and goal achievement across macroeconomic cycles will be vital to evaluate long-term wealth outcomes.</w:t>
      </w:r>
    </w:p>
    <w:p>
      <w:pPr>
        <w:spacing w:before="240" w:after="80" w:line="240" w:lineRule="auto"/>
        <w:jc w:val="center"/>
      </w:pPr>
      <w:r>
        <w:rPr>
          <w:rFonts w:ascii="Times New Roman" w:hAnsi="Times New Roman"/>
          <w:b/>
          <w:i w:val="0"/>
          <w:color w:val="000000"/>
          <w:sz w:val="20"/>
        </w:rPr>
        <w:t>IX. CONCLUSION</w:t>
      </w:r>
    </w:p>
    <w:p>
      <w:pPr>
        <w:spacing w:before="0" w:after="80" w:line="240" w:lineRule="auto"/>
        <w:jc w:val="both"/>
      </w:pPr>
      <w:r>
        <w:rPr>
          <w:rFonts w:ascii="Times New Roman" w:hAnsi="Times New Roman"/>
          <w:b w:val="0"/>
          <w:i w:val="0"/>
          <w:color w:val="000000"/>
          <w:sz w:val="20"/>
        </w:rPr>
        <w:t>In this paper, we presented InvestRight, a full-stack, tool-orchestrated financial advisory architecture that resolves the longstanding conflict between conversational flexibility and numerical determinism in AI fintech. By provably isolating closed-form mathematical calculations, psychometric risk calibration, and SEBI-aligned category matching from the natural language reasoning of an LLM agent, the system guarantees 100.0% factual groundedness and completely eliminates arithmetic hallucination. The integration of ephemeral OCR document extraction with real-time profile synchronization, coupled with bounded lexical-overlap RAG retrieval, delivers a 95.9% reduction in context token consumption with low 2.08-second response latency. Both synthetic stress testing (N = 240) and production benchmark trials across diverse user personas confirm that InvestRight provides a scalable, auditable, and regulatory-compliant framework for democratizing personalized financial decision support.</w:t>
      </w:r>
    </w:p>
    <w:p>
      <w:pPr>
        <w:spacing w:before="240" w:after="80" w:line="240" w:lineRule="auto"/>
        <w:jc w:val="center"/>
      </w:pPr>
      <w:r>
        <w:rPr>
          <w:rFonts w:ascii="Times New Roman" w:hAnsi="Times New Roman"/>
          <w:b/>
          <w:i w:val="0"/>
          <w:color w:val="000000"/>
          <w:sz w:val="20"/>
        </w:rPr>
        <w:t>REFERENCES</w:t>
      </w:r>
    </w:p>
    <w:p>
      <w:pPr>
        <w:spacing w:before="20" w:after="40" w:line="240" w:lineRule="auto"/>
        <w:ind w:left="360" w:hanging="360"/>
        <w:jc w:val="both"/>
      </w:pPr>
      <w:r>
        <w:rPr>
          <w:rFonts w:ascii="Times New Roman" w:hAnsi="Times New Roman"/>
          <w:color w:val="000000"/>
          <w:sz w:val="16"/>
        </w:rPr>
        <w:t>[1] H. Sumeer, Aparna, T. R. Rishitha, R. R. Vincent, S. R. Nagaraja, and P. Kannadaguli, "An AI-Driven Financial Advisory System with Dynamic Risk Profiling," in Proc. Contemporary Computing Innovations Conf. (CCIC 2026), 2026, doi: 10.1109/CCIC68129.2026.11486171.</w:t>
      </w:r>
    </w:p>
    <w:p>
      <w:pPr>
        <w:spacing w:before="20" w:after="40" w:line="240" w:lineRule="auto"/>
        <w:ind w:left="360" w:hanging="360"/>
        <w:jc w:val="both"/>
      </w:pPr>
      <w:r>
        <w:rPr>
          <w:rFonts w:ascii="Times New Roman" w:hAnsi="Times New Roman"/>
          <w:color w:val="000000"/>
          <w:sz w:val="16"/>
        </w:rPr>
        <w:t>[2] F. Ghosn, "Artificial intelligence in investment and wealth management," in AI's Transformative Impact on Finance, Auditing, and Investment, IGI Global, 2025, pp. 1-24, doi: 10.4018/979-8-3373-0129-7.ch001.</w:t>
      </w:r>
    </w:p>
    <w:p>
      <w:pPr>
        <w:spacing w:before="20" w:after="40" w:line="240" w:lineRule="auto"/>
        <w:ind w:left="360" w:hanging="360"/>
        <w:jc w:val="both"/>
      </w:pPr>
      <w:r>
        <w:rPr>
          <w:rFonts w:ascii="Times New Roman" w:hAnsi="Times New Roman"/>
          <w:color w:val="000000"/>
          <w:sz w:val="16"/>
        </w:rPr>
        <w:t>[3] H. Ali, M. B. Zafar, and A. F. Aysan, "Generative AI in finance: Replicability, methodological contingencies, and future research directions," Finance Research Letters, vol. 72, art. 108797, 2025, doi: 10.1016/j.frl.2025.108797.</w:t>
      </w:r>
    </w:p>
    <w:p>
      <w:pPr>
        <w:spacing w:before="20" w:after="40" w:line="240" w:lineRule="auto"/>
        <w:ind w:left="360" w:hanging="360"/>
        <w:jc w:val="both"/>
      </w:pPr>
      <w:r>
        <w:rPr>
          <w:rFonts w:ascii="Times New Roman" w:hAnsi="Times New Roman"/>
          <w:color w:val="000000"/>
          <w:sz w:val="16"/>
        </w:rPr>
        <w:t>[4] P. Singh, "AI and financial risk management revolutionizing risk assessment and mitigation," in Artificial Intelligence for Financial Risk Management and Analysis, IGI Global, 2025, pp. 312-335, doi: 10.4018/979-8-3373-1200-2.ch019.</w:t>
      </w:r>
    </w:p>
    <w:p>
      <w:pPr>
        <w:spacing w:before="20" w:after="40" w:line="240" w:lineRule="auto"/>
        <w:ind w:left="360" w:hanging="360"/>
        <w:jc w:val="both"/>
      </w:pPr>
      <w:r>
        <w:rPr>
          <w:rFonts w:ascii="Times New Roman" w:hAnsi="Times New Roman"/>
          <w:color w:val="000000"/>
          <w:sz w:val="16"/>
        </w:rPr>
        <w:t>[5] N. Ablazov, A. Qodirov, Z. Ibragimova, and K. Akhmedov, "Robo-Advisors and Investment Management: Analyzing the Role of AI in Personal Finance," in Proc. Int. Conf. Knowledge Engineering and Communication Systems (ICKECS 2024), 2024, doi: 10.1109/ICKECS61492.2024.10617229.</w:t>
      </w:r>
    </w:p>
    <w:p>
      <w:pPr>
        <w:spacing w:before="20" w:after="40" w:line="240" w:lineRule="auto"/>
        <w:ind w:left="360" w:hanging="360"/>
        <w:jc w:val="both"/>
      </w:pPr>
      <w:r>
        <w:rPr>
          <w:rFonts w:ascii="Times New Roman" w:hAnsi="Times New Roman"/>
          <w:color w:val="000000"/>
          <w:sz w:val="16"/>
        </w:rPr>
        <w:t>[6] N. Mali and V. Devmane, "A Systematic Exploration of AI-Powered Personalized Investment Strategies," in Proc. 3rd Int. Conf. Inventive Computing and Informatics (ICICI 2025), 2025, doi: 10.1109/ICICI65870.2025.11069526.</w:t>
      </w:r>
    </w:p>
    <w:p>
      <w:pPr>
        <w:spacing w:before="20" w:after="40" w:line="240" w:lineRule="auto"/>
        <w:ind w:left="360" w:hanging="360"/>
        <w:jc w:val="both"/>
      </w:pPr>
      <w:r>
        <w:rPr>
          <w:rFonts w:ascii="Times New Roman" w:hAnsi="Times New Roman"/>
          <w:color w:val="000000"/>
          <w:sz w:val="16"/>
        </w:rPr>
        <w:t>[7] S. Dongre, B. Agone, A. More, A. Mengawade, A. Deshmukh, and A. Badgujar, "WealthPilot-Your AI-Powered Guide to a Smarter Investment Journey," in Proc. 17th Int. Conf. Advances in Computing, Control, and Telecommunication Technologies (ACT 2026), 2026.</w:t>
      </w:r>
    </w:p>
    <w:p>
      <w:pPr>
        <w:spacing w:before="20" w:after="40" w:line="240" w:lineRule="auto"/>
        <w:ind w:left="360" w:hanging="360"/>
        <w:jc w:val="both"/>
      </w:pPr>
      <w:r>
        <w:rPr>
          <w:rFonts w:ascii="Times New Roman" w:hAnsi="Times New Roman"/>
          <w:color w:val="000000"/>
          <w:sz w:val="16"/>
        </w:rPr>
        <w:t>[8] J. M. S. Shah, S. Aggarwal, and P. Dhawan, "Artificial Intelligence in Financial Sector Risk Management: Bibliometric Analysis (2010–2025)," in Lecture Notes in Networks and Systems, Springer, 2026, doi: 10.1007/978-3-032-23577-0_28.</w:t>
      </w:r>
    </w:p>
    <w:p>
      <w:pPr>
        <w:spacing w:before="20" w:after="40" w:line="240" w:lineRule="auto"/>
        <w:ind w:left="360" w:hanging="360"/>
        <w:jc w:val="both"/>
      </w:pPr>
      <w:r>
        <w:rPr>
          <w:rFonts w:ascii="Times New Roman" w:hAnsi="Times New Roman"/>
          <w:color w:val="000000"/>
          <w:sz w:val="16"/>
        </w:rPr>
        <w:t>[9] K. Elalkaoui, S. Moqqaddem, and M. A. Kerroum, "A Comprehensive Study on Integration of Big Data and AI in Financial Decision-Making," Journal of ICT Standardization, vol. 14, no. 2, pp. 1-28, 2026, doi: 10.13052/jicts2245-800X.1423.</w:t>
      </w:r>
    </w:p>
    <w:p>
      <w:pPr>
        <w:spacing w:before="20" w:after="40" w:line="240" w:lineRule="auto"/>
        <w:ind w:left="360" w:hanging="360"/>
        <w:jc w:val="both"/>
      </w:pPr>
      <w:r>
        <w:rPr>
          <w:rFonts w:ascii="Times New Roman" w:hAnsi="Times New Roman"/>
          <w:color w:val="000000"/>
          <w:sz w:val="16"/>
        </w:rPr>
        <w:t>[10] S. Anwar, H. Olaivar, and L. Rony, "Bringing Explainability to Robo-Advisors: A Hybrid AI-Finance Decision Support System for Retail Portfolio Management," in Proc. Int. Conf. Computational Intelligence and Knowledge Economy (ICCIKE 2025), 2025, doi: 10.1109/ICCIKE67021.2025.11318186.</w:t>
      </w:r>
    </w:p>
    <w:p>
      <w:pPr>
        <w:spacing w:before="20" w:after="40" w:line="240" w:lineRule="auto"/>
        <w:ind w:left="360" w:hanging="360"/>
        <w:jc w:val="both"/>
      </w:pPr>
      <w:r>
        <w:rPr>
          <w:rFonts w:ascii="Times New Roman" w:hAnsi="Times New Roman"/>
          <w:color w:val="000000"/>
          <w:sz w:val="16"/>
        </w:rPr>
        <w:t>[11] J. Chi, "Interpretable multimodal reasoning for robo-advisory: the FinErva framework," Frontiers in Artificial Intelligence, vol. 8, art. 1752580, 2026, doi: 10.3389/frai.2025.1752580.</w:t>
      </w:r>
    </w:p>
    <w:p>
      <w:pPr>
        <w:spacing w:before="20" w:after="40" w:line="240" w:lineRule="auto"/>
        <w:ind w:left="360" w:hanging="360"/>
        <w:jc w:val="both"/>
      </w:pPr>
      <w:r>
        <w:rPr>
          <w:rFonts w:ascii="Times New Roman" w:hAnsi="Times New Roman"/>
          <w:color w:val="000000"/>
          <w:sz w:val="16"/>
        </w:rPr>
        <w:t>[12] M. Irfan, R. Dias, J. Hooda, K. A. Singh, and S. Bang, "AI's impact on financial services, auditing, and investment strategies: The future ahead," in AI's Transformative Impact on Finance, Auditing, and Investment, IGI Global, 2025, pp. 145-168, doi: 10.4018/979-8-3373-0129-7.ch008.</w:t>
      </w:r>
    </w:p>
    <w:p>
      <w:pPr>
        <w:spacing w:before="20" w:after="40" w:line="240" w:lineRule="auto"/>
        <w:ind w:left="360" w:hanging="360"/>
        <w:jc w:val="both"/>
      </w:pPr>
      <w:r>
        <w:rPr>
          <w:rFonts w:ascii="Times New Roman" w:hAnsi="Times New Roman"/>
          <w:color w:val="000000"/>
          <w:sz w:val="16"/>
        </w:rPr>
        <w:t>[13] N. Gupta, S. Saloni, K. K. Mishra, and M. Kashif, "Financial Services Employing Artificial Intelligence and Machine Learning," in Transforming Business Finance in the Digital Era, CRC Press, 2025, pp. 112-130, doi: 10.1201/9781998511235-8.</w:t>
      </w:r>
    </w:p>
    <w:p>
      <w:pPr>
        <w:spacing w:before="20" w:after="40" w:line="240" w:lineRule="auto"/>
        <w:ind w:left="360" w:hanging="360"/>
        <w:jc w:val="both"/>
      </w:pPr>
      <w:r>
        <w:rPr>
          <w:rFonts w:ascii="Times New Roman" w:hAnsi="Times New Roman"/>
          <w:color w:val="000000"/>
          <w:sz w:val="16"/>
        </w:rPr>
        <w:t>[14] A. Bhattacharjee, J. Debnath Munshi, and J. Das, "Evolving frontiers of AI in financial risk: A global bibliometric analysis," EDPACS, vol. 71, no. 3, pp. 1-19, 2026, doi: 10.1080/07366981.2025.2556543.</w:t>
      </w:r>
    </w:p>
    <w:p>
      <w:pPr>
        <w:spacing w:before="20" w:after="40" w:line="240" w:lineRule="auto"/>
        <w:ind w:left="360" w:hanging="360"/>
        <w:jc w:val="both"/>
      </w:pPr>
      <w:r>
        <w:rPr>
          <w:rFonts w:ascii="Times New Roman" w:hAnsi="Times New Roman"/>
          <w:color w:val="000000"/>
          <w:sz w:val="16"/>
        </w:rPr>
        <w:t>[15] M. Mahyaoui and R. Krami, "The Role of Artificial Intelligence in Financial Risk Management," in Lecture Notes in Networks and Systems, Springer, 2026, doi: 10.1007/978-3-032-11411-2_32.</w:t>
      </w:r>
    </w:p>
    <w:p>
      <w:pPr>
        <w:spacing w:before="20" w:after="40" w:line="240" w:lineRule="auto"/>
        <w:ind w:left="360" w:hanging="360"/>
        <w:jc w:val="both"/>
      </w:pPr>
      <w:r>
        <w:rPr>
          <w:rFonts w:ascii="Times New Roman" w:hAnsi="Times New Roman"/>
          <w:color w:val="000000"/>
          <w:sz w:val="16"/>
        </w:rPr>
        <w:t>[16] S. Hesami, "Navigating the AI-driven transformation of personal finance: opportunities, challenges, and ethical imperatives," Strategy and Leadership, vol. 53, no. 2, pp. 45-56, 2025, doi: 10.1108/SL-02-2025-0019.</w:t>
      </w:r>
    </w:p>
    <w:p>
      <w:pPr>
        <w:spacing w:before="20" w:after="40" w:line="240" w:lineRule="auto"/>
        <w:ind w:left="360" w:hanging="360"/>
        <w:jc w:val="both"/>
      </w:pPr>
      <w:r>
        <w:rPr>
          <w:rFonts w:ascii="Times New Roman" w:hAnsi="Times New Roman"/>
          <w:color w:val="000000"/>
          <w:sz w:val="16"/>
        </w:rPr>
        <w:t>[17] K. Kharatmol, P. Mhatre, S. Khairnar, and S. Bhosle, "AI - Driven Finance Advisor for Personalized Investment Strategies," in Proc. 5th Int. Conf. Intelligent Technologies (CONIT 2025), 2025, doi: 10.1109/CONIT65521.2025.11167023.</w:t>
      </w:r>
    </w:p>
    <w:p>
      <w:pPr>
        <w:spacing w:before="20" w:after="40" w:line="240" w:lineRule="auto"/>
        <w:ind w:left="360" w:hanging="360"/>
        <w:jc w:val="both"/>
      </w:pPr>
      <w:r>
        <w:rPr>
          <w:rFonts w:ascii="Times New Roman" w:hAnsi="Times New Roman"/>
          <w:color w:val="000000"/>
          <w:sz w:val="16"/>
        </w:rPr>
        <w:t>[18] J. W. Goodell, S. Kumar, W. M. Lim, and D. Pattnaik, "Artificial intelligence and machine learning in finance: Identifying foundations, themes, and research clusters from bibliometric analysis," Journal of Behavioral and Experimental Finance, vol. 32, art. 100577, 2021, doi: 10.1016/j.jbef.2021.100577.</w:t>
      </w:r>
    </w:p>
    <w:p>
      <w:pPr>
        <w:spacing w:before="20" w:after="40" w:line="240" w:lineRule="auto"/>
        <w:ind w:left="360" w:hanging="360"/>
        <w:jc w:val="both"/>
      </w:pPr>
      <w:r>
        <w:rPr>
          <w:rFonts w:ascii="Times New Roman" w:hAnsi="Times New Roman"/>
          <w:color w:val="000000"/>
          <w:sz w:val="16"/>
        </w:rPr>
        <w:t>[19] M. T. Ribeiro, S. Singh, and C. Guestrin, "'Why should I trust you?' Explaining the predictions of any classifier," in Proc. 22nd ACM SIGKDD Int. Conf. Knowledge Discovery and Data Mining (KDD '16), 2016, pp. 1135-1144, doi: 10.1145/2939672.2939778.</w:t>
      </w:r>
    </w:p>
    <w:p>
      <w:pPr>
        <w:spacing w:before="20" w:after="40" w:line="240" w:lineRule="auto"/>
        <w:ind w:left="360" w:hanging="360"/>
        <w:jc w:val="both"/>
      </w:pPr>
      <w:r>
        <w:rPr>
          <w:rFonts w:ascii="Times New Roman" w:hAnsi="Times New Roman"/>
          <w:color w:val="000000"/>
          <w:sz w:val="16"/>
        </w:rPr>
        <w:t>[20] M. Aria and C. Cuccurullo, "bibliometrix: An R-tool for comprehensive science mapping analysis," Journal of Informetrics, vol. 11, no. 4, pp. 959-975, 2017, doi: 10.1016/j.joi.2017.08.007.</w:t>
      </w:r>
    </w:p>
    <w:p>
      <w:pPr>
        <w:spacing w:before="20" w:after="40" w:line="240" w:lineRule="auto"/>
        <w:ind w:left="360" w:hanging="360"/>
        <w:jc w:val="both"/>
      </w:pPr>
      <w:r>
        <w:rPr>
          <w:rFonts w:ascii="Times New Roman" w:hAnsi="Times New Roman"/>
          <w:color w:val="000000"/>
          <w:sz w:val="16"/>
        </w:rPr>
        <w:t>[21] H. Markowitz, "Portfolio selection," The Journal of Finance, vol. 7, no. 1, pp. 77-91, 1952, doi: 10.1111/j.1540-6261.1952.tb01525.x.</w:t>
      </w:r>
    </w:p>
    <w:p>
      <w:pPr>
        <w:spacing w:before="20" w:after="40" w:line="240" w:lineRule="auto"/>
        <w:ind w:left="360" w:hanging="360"/>
        <w:jc w:val="both"/>
      </w:pPr>
      <w:r>
        <w:rPr>
          <w:rFonts w:ascii="Times New Roman" w:hAnsi="Times New Roman"/>
          <w:color w:val="000000"/>
          <w:sz w:val="16"/>
        </w:rPr>
        <w:t>[22] M. Leo, S. Sharma, and K. Maddulety, "Machine learning in banking risk management: A literature review," Risks, vol. 7, no. 1, art. 29, 2019, doi: 10.3390/risks7010029.</w:t>
      </w:r>
    </w:p>
    <w:p>
      <w:pPr>
        <w:spacing w:before="20" w:after="40" w:line="240" w:lineRule="auto"/>
        <w:ind w:left="360" w:hanging="360"/>
        <w:jc w:val="both"/>
      </w:pPr>
      <w:r>
        <w:rPr>
          <w:rFonts w:ascii="Times New Roman" w:hAnsi="Times New Roman"/>
          <w:color w:val="000000"/>
          <w:sz w:val="16"/>
        </w:rPr>
        <w:t>[23] N. Bussmann, P. Giudici, D. Marinelli, and J. Papenbrock, "Explainable AI in Fintech Risk Management," Frontiers in Artificial Intelligence, vol. 3, art. 26, 2020, doi: 10.3389/frai.2020.00026.</w:t>
      </w:r>
    </w:p>
    <w:p>
      <w:pPr>
        <w:spacing w:before="20" w:after="40" w:line="240" w:lineRule="auto"/>
        <w:ind w:left="360" w:hanging="360"/>
        <w:jc w:val="both"/>
      </w:pPr>
      <w:r>
        <w:rPr>
          <w:rFonts w:ascii="Times New Roman" w:hAnsi="Times New Roman"/>
          <w:color w:val="000000"/>
          <w:sz w:val="16"/>
        </w:rPr>
        <w:t>[24] W. J. Yeo, W. Van Der Heever, R. Mao, E. Cambria, R. Satapathy, and G. Mengaldo, "A Comprehensive Review on Financial Explainable AI," Artificial Intelligence Review, vol. 58, art. 14, 2024.</w:t>
      </w:r>
    </w:p>
    <w:p>
      <w:pPr>
        <w:spacing w:before="20" w:after="40" w:line="240" w:lineRule="auto"/>
        <w:ind w:left="360" w:hanging="360"/>
        <w:jc w:val="both"/>
      </w:pPr>
      <w:r>
        <w:rPr>
          <w:rFonts w:ascii="Times New Roman" w:hAnsi="Times New Roman"/>
          <w:color w:val="000000"/>
          <w:sz w:val="16"/>
        </w:rPr>
        <w:t>[25] M. T. Mohsin and N. B. Nasim, "Explaining the Unexplainable: A Systematic Review of Explainable AI in Finance," arXiv:2503.05966, 2025.</w:t>
      </w:r>
    </w:p>
    <w:p>
      <w:pPr>
        <w:spacing w:before="20" w:after="40" w:line="240" w:lineRule="auto"/>
        <w:ind w:left="360" w:hanging="360"/>
        <w:jc w:val="both"/>
      </w:pPr>
      <w:r>
        <w:rPr>
          <w:rFonts w:ascii="Times New Roman" w:hAnsi="Times New Roman"/>
          <w:color w:val="000000"/>
          <w:sz w:val="16"/>
        </w:rPr>
        <w:t>[26] Y. Gao, Y. Xiong, X. Gao, K. Jia, J. Pan, Y. Bi, Y. Dai, J. Sun, and H. Wang, "Retrieval-Augmented Generation for Large Language Models: A Survey," arXiv:2312.10997, 2024.</w:t>
      </w:r>
    </w:p>
    <w:p>
      <w:pPr>
        <w:spacing w:before="20" w:after="40" w:line="240" w:lineRule="auto"/>
        <w:ind w:left="360" w:hanging="360"/>
        <w:jc w:val="both"/>
      </w:pPr>
      <w:r>
        <w:rPr>
          <w:rFonts w:ascii="Times New Roman" w:hAnsi="Times New Roman"/>
          <w:color w:val="000000"/>
          <w:sz w:val="16"/>
        </w:rPr>
        <w:t>[27] A. Singh, A. Ehtesham, S. Kumar, T. T. Khoei, and A. V. Vasilakos, "Agentic Retrieval-Augmented Generation: A Survey on Agentic RAG," arXiv:2501.09136,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