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Literature Survey</w:t>
      </w:r>
    </w:p>
    <w:p>
      <w:pPr>
        <w:jc w:val="center"/>
      </w:pPr>
      <w:r>
        <w:rPr>
          <w:b/>
          <w:sz w:val="26"/>
        </w:rPr>
        <w:t>Uncertainty-Aware Graph Neural Network for Dynamic NOMA User Grouping under Imperfect CSI</w:t>
      </w:r>
    </w:p>
    <w:p>
      <w:pPr>
        <w:jc w:val="center"/>
      </w:pPr>
      <w:r>
        <w:t>Research survey | 5G/6G wireless communications, graph learning, and uncertainty-aware semi-supervision</w:t>
      </w:r>
    </w:p>
    <w:p/>
    <w:tbl>
      <w:tblPr>
        <w:tblW w:type="auto" w:w="0"/>
        <w:jc w:val="center"/>
        <w:tblLook w:firstColumn="1" w:firstRow="1" w:lastColumn="0" w:lastRow="0" w:noHBand="0" w:noVBand="1" w:val="04A0"/>
      </w:tblPr>
      <w:tblGrid>
        <w:gridCol w:w="9360"/>
      </w:tblGrid>
      <w:tr>
        <w:tc>
          <w:tcPr>
            <w:tcW w:type="dxa" w:w="9360"/>
            <w:shd w:fill="EAF0F7"/>
            <w:tcBorders>
              <w:top w:val="single" w:sz="10" w:color="003366"/>
              <w:left w:val="single" w:sz="20" w:color="003366"/>
              <w:bottom w:val="single" w:sz="10" w:color="003366"/>
              <w:right w:val="single" w:sz="10" w:color="003366"/>
            </w:tcBorders>
          </w:tcPr>
          <w:p>
            <w:r>
              <w:rPr>
                <w:b/>
                <w:color w:val="003366"/>
              </w:rPr>
              <w:t xml:space="preserve">Scope note  </w:t>
            </w:r>
            <w:r>
              <w:t>This survey focuses on the machine-learning grouping core. Power allocation, SIC, SINR, and sum-rate computation are treated as downstream evaluation components, not as part of the proposed GNN implementation.</w:t>
            </w:r>
          </w:p>
        </w:tc>
      </w:tr>
    </w:tbl>
    <w:p/>
    <w:p>
      <w:pPr>
        <w:pStyle w:val="Heading1"/>
      </w:pPr>
      <w:r>
        <w:t>1. Introduction to NOMA and Dynamic User Grouping</w:t>
      </w:r>
    </w:p>
    <w:p>
      <w:pPr>
        <w:pStyle w:val="Heading2"/>
      </w:pPr>
      <w:r>
        <w:t>1.1 Evolution from OMA to NOMA</w:t>
      </w:r>
    </w:p>
    <w:p>
      <w:r>
        <w:t>Orthogonal multiple access (OMA), including OFDMA and TDMA, allocates mutually orthogonal time-frequency resources to users. This simplifies receiver processing and interference management, but orthogonality limits the number of users served on a resource block and can be inefficient when traffic, channel quality, and latency requirements are heterogeneous. Power-domain non-orthogonal multiple access (PD-NOMA) superposes multiple users on the same time-frequency resource and separates their signals using power-domain multiplexing and successive interference cancellation (SIC). NOMA therefore offers a flexible multiple-access option for dense connectivity and heterogeneous quality-of-service requirements, although its gains depend on channel disparity, receiver capability, power allocation, and practical decoding reliability [1]–[4]. NOMA should not be treated as universally superior to OMA: under some channel, mobility, and implementation conditions, the complexity and error propagation of SIC can outweigh the spectral-efficiency benefit.</w:t>
      </w:r>
    </w:p>
    <w:p>
      <w:pPr>
        <w:pStyle w:val="Heading2"/>
      </w:pPr>
      <w:r>
        <w:t>1.2 Signal model and SIC</w:t>
      </w:r>
    </w:p>
    <w:p>
      <w:r>
        <w:t>For a downlink resource block containing K users, a base station transmits a superposition signal x = Σ(k=1…K) √(p_k) s_k, where s_k is the unit-power symbol for user k and p_k is its allocated power. User k receives y_k = h_k x + n_k, where h_k is the complex channel coefficient and n_k is receiver noise. In a common two-user illustration, the weak-channel user is often allocated more power, while the strong-channel user decodes and subtracts the weak user's signal before decoding its own. This is a design convention rather than an unconditional rule: feasible decoding order and power allocation depend on rate constraints, channel conditions, and the adopted receiver model. SIC success requires reliable decoding of each cancelled signal; residual interference remains when channel estimates, codewords, or decoding decisions are inaccurate.</w:t>
      </w:r>
    </w:p>
    <w:p>
      <w:pPr>
        <w:pStyle w:val="Heading2"/>
      </w:pPr>
      <w:r>
        <w:t>1.3 Why dynamic grouping matters</w:t>
      </w:r>
    </w:p>
    <w:p>
      <w:r>
        <w:t>User grouping decides which users share a resource block. A useful pair may combine sufficiently different effective channel gains to make power-domain separation practical, while avoiding pairs whose QoS, fairness, mobility, or interference conditions make SIC fragile. The grouping decision influences feasible power allocation, achievable rates, outage, fairness, and total scheduling cost. A static pairing optimized for one channel snapshot may become stale after fading, user movement, blockage, or traffic changes. Dynamic grouping is therefore a sequential inference and decision problem: it must use current observations, tolerate uncertainty, and adapt without repeatedly solving an expensive combinatorial optimization from scratch. In this project, the ML module predicts grouping structure only; power allocation, SIC, SINR, and sum-rate evaluation remain separate downstream components.</w:t>
      </w:r>
    </w:p>
    <w:p>
      <w:pPr>
        <w:pStyle w:val="Heading1"/>
      </w:pPr>
      <w:r>
        <w:t>2. Conventional Heuristic and Optimization-Based User Grouping</w:t>
      </w:r>
    </w:p>
    <w:p>
      <w:pPr>
        <w:pStyle w:val="Heading2"/>
      </w:pPr>
      <w:r>
        <w:t>2.1 Channel-gain sorting and near–far pairing</w:t>
      </w:r>
    </w:p>
    <w:p>
      <w:r>
        <w:t>A standard low-complexity baseline sorts users by estimated channel gain and pairs users with large gain disparity, often matching a weak user with a strong user. Sorting costs O(N log N); pairing after sorting is typically O(N). Its attraction is transparency and low runtime. Its limitations are equally important: a large gain difference does not guarantee a feasible QoS pair, and scalar sorting ignores spatial correlation, inter-cell interference, channel-estimation confidence, user-specific rate demands, and the topology of other candidate pairs. If the ordering is based on noisy estimates, small estimation errors can reverse neighboring ranks and trigger unstable pairing decisions.</w:t>
      </w:r>
    </w:p>
    <w:p>
      <w:pPr>
        <w:pStyle w:val="Heading2"/>
      </w:pPr>
      <w:r>
        <w:t>2.2 Matching and graph formulations</w:t>
      </w:r>
    </w:p>
    <w:p>
      <w:r>
        <w:t>Pairing can be expressed as a weighted matching problem: users form the vertices of a graph and candidate pair benefits form edge weights. Bipartite matching is appropriate when users are partitioned into two sets; general matching is needed when any user may pair with any other. The Hungarian algorithm solves a square assignment problem in O(N³), while specialized matching algorithms can be efficient for sparse structures. Matching-based NOMA studies show that pairing and power allocation can be jointly or alternately optimized [5]. The result is often more principled than a sorting rule, but edge weights may require expensive rate or QoS calculations, and exact global matching can become costly when constraints couple multiple groups or cells.</w:t>
      </w:r>
    </w:p>
    <w:p>
      <w:pPr>
        <w:pStyle w:val="Heading2"/>
      </w:pPr>
      <w:r>
        <w:t>2.3 Combinatorial optimization and branch-and-bound</w:t>
      </w:r>
    </w:p>
    <w:p>
      <w:r>
        <w:t>For N users, the number of possible pairings grows rapidly; for even N and unrestricted pairs, the number of perfect matchings is (N−1)!! = (N−1)(N−3)…1. Joint grouping, power allocation, QoS constraints, and multi-cell interference can create mixed-integer nonlinear optimization problems. Branch-and-bound can provide optimality certificates when tractable bounds are available, but worst-case complexity is exponential. Relaxations and iterative algorithms can reduce practical cost but may return local optima or depend on initialization. These approaches remain valuable as offline teacher-label generators for smaller instances, yet are difficult to execute at every scheduling interval in dense, mobile systems.</w:t>
      </w:r>
    </w:p>
    <w:p>
      <w:pPr>
        <w:pStyle w:val="Heading2"/>
      </w:pPr>
      <w:r>
        <w:t>2.4 Practical comparison</w:t>
      </w:r>
    </w:p>
    <w:p>
      <w:r>
        <w:t>Heuristics are useful as fast baselines; matching provides a structured global assignment; exact combinatorial methods can generate high-quality labels for limited-size instances. None automatically solves the problem of uncertain, evolving observations. A robust learning system should be evaluated against these baselines on identical user sets and information assumptions, and should report runtime, feasibility, group stability, and downstream communication metrics separately.</w:t>
      </w:r>
    </w:p>
    <w:p>
      <w:pPr>
        <w:pStyle w:val="Heading1"/>
      </w:pPr>
      <w:r>
        <w:t>3. The Challenge of Imperfect Channel State Information (CSI)</w:t>
      </w:r>
    </w:p>
    <w:p>
      <w:pPr>
        <w:pStyle w:val="Heading2"/>
      </w:pPr>
      <w:r>
        <w:t>3.1 Sources of imperfection</w:t>
      </w:r>
    </w:p>
    <w:p>
      <w:r>
        <w:t>The channel used by a scheduler is usually an estimate, not the instantaneous physical channel. Pilot-based estimation is affected by finite pilot length, thermal noise, hardware impairments, and pilot contamination from non-orthogonal pilots. Quantized or delayed feedback introduces distortion and age-of-information effects. Mobility and Doppler spread cause channel aging between measurement and use; blockage and fast environmental changes can produce abrupt deviations. In multi-antenna systems, errors can affect channel vectors, covariance estimates, and inter-user correlations, not just scalar channel magnitude.</w:t>
      </w:r>
    </w:p>
    <w:p>
      <w:pPr>
        <w:pStyle w:val="Heading2"/>
      </w:pPr>
      <w:r>
        <w:t>3.2 Stochastic and bounded models</w:t>
      </w:r>
    </w:p>
    <w:p>
      <w:r>
        <w:t>A common stochastic abstraction is h = ĥ + e, where ĥ is the estimate and e is a random estimation error, often modeled as circularly symmetric complex Gaussian e ~ CN(0, σ_e²). The error variance may depend on pilot SNR, pilot length, mobility, and estimation method. This model is convenient for expectation, outage, and probabilistic-risk analysis, but a Gaussian assumption is not universally accurate. A worst-case model instead assumes e lies in a set such as ||e|| ≤ ε. Robust optimization then enforces constraints for every error within that set. Bounded models provide conservative guarantees but can be pessimistic, and selecting a credible bound is itself difficult. Bayesian or learned uncertainty models can represent richer distributions but require calibration and sufficient data.</w:t>
      </w:r>
    </w:p>
    <w:p>
      <w:pPr>
        <w:pStyle w:val="Heading2"/>
      </w:pPr>
      <w:r>
        <w:t>3.3 Consequences for NOMA grouping and SIC</w:t>
      </w:r>
    </w:p>
    <w:p>
      <w:r>
        <w:t>Grouping based on |ĥ|² can misrepresent the true channel ordering when uncertainty is large. The selected pair may appear to have strong near–far disparity while the actual channels overlap, or an estimated strong user may be unable to decode the signal it is expected to cancel. Imperfect CSI can therefore reduce decoding margins, increase residual interference and outage, and invalidate rate constraints derived under perfect CSI [2], [3], [6]. A robust grouping stage should consider both the estimated channel and the reliability of that estimate. In the proposed ML design, |h−ĥ|² is an explicit uncertainty feature when reference channel h is available during dataset construction; in deployment, the true h is generally unavailable, so the feature must be interpreted as a training-time error target or replaced by an observable uncertainty proxy such as estimator variance, confidence interval, pilot quality, or CSI age. This distinction is critical to avoid leakage.</w:t>
      </w:r>
    </w:p>
    <w:p>
      <w:pPr>
        <w:pStyle w:val="Heading2"/>
      </w:pPr>
      <w:r>
        <w:t>3.4 From robust optimization to uncertainty-aware prediction</w:t>
      </w:r>
    </w:p>
    <w:p>
      <w:r>
        <w:t>Classical robust methods encode uncertainty in constraints or worst-case objectives. A learning model can instead learn grouping patterns from estimated CSI plus uncertainty descriptors, and can abstain from pseudo-labeling examples whose predictions are unreliable. These mechanisms do not themselves guarantee worst-case rate or SIC feasibility. Their purpose is to make the grouping predictor uncertainty-sensitive; physical feasibility must still be checked by the downstream optimization or communication layer.</w:t>
      </w:r>
    </w:p>
    <w:p>
      <w:pPr>
        <w:pStyle w:val="Heading1"/>
      </w:pPr>
      <w:r>
        <w:t>4. Machine Learning and Deep Learning in Wireless Resource Allocation</w:t>
      </w:r>
    </w:p>
    <w:p>
      <w:pPr>
        <w:pStyle w:val="Heading2"/>
      </w:pPr>
      <w:r>
        <w:t>4.1 Early learning approaches</w:t>
      </w:r>
    </w:p>
    <w:p>
      <w:r>
        <w:t>K-means and related clustering algorithms partition users using feature distances such as channel gain, location, or rate demand. They are computationally convenient but optimize geometric compactness rather than NOMA utility, and their output depends on feature scaling and the chosen number of clusters. SVMs can classify candidate pairs or rank user combinations when labelled examples exist, but engineered pair features may not transfer to a changed number of users. MLPs learn nonlinear mappings from fixed-size feature vectors to pairing decisions; their input/output structure often assumes a fixed user count or requires cumbersome padding and candidate enumeration. CNNs can learn from grid-like channel matrices or spatial maps, but translation locality on a raster is not always the natural inductive bias for an irregular user-interference network.</w:t>
      </w:r>
    </w:p>
    <w:p>
      <w:pPr>
        <w:pStyle w:val="Heading2"/>
      </w:pPr>
      <w:r>
        <w:t>4.2 Data-driven resource allocation</w:t>
      </w:r>
    </w:p>
    <w:p>
      <w:r>
        <w:t>Deep learning has been used to approximate resource-allocation policies and reduce online computation, while reinforcement learning can adapt decisions through reward feedback [7], [8]. Supervised methods depend on labels, commonly obtained from optimization or simulation, and inherit the assumptions of the teacher. Reinforcement learning may require extensive interactions and careful safety constraints. Unsupervised clustering avoids labels but can optimize a proxy objective disconnected from feasible NOMA grouping. Across paradigms, a major issue is distribution shift: a model trained for one user density, propagation regime, CSI error level, or cell layout may degrade under another.</w:t>
      </w:r>
    </w:p>
    <w:p>
      <w:pPr>
        <w:pStyle w:val="Heading2"/>
      </w:pPr>
      <w:r>
        <w:t>4.3 Why graph structure is useful</w:t>
      </w:r>
    </w:p>
    <w:p>
      <w:r>
        <w:t>Wireless relationships are relational and non-Euclidean. A user's suitability for pairing depends not only on its own channel but also on other users' channel differences, shared interference, spatial proximity, QoS, and the current set of candidate users. Graph representations explicitly encode these relationships and can accept variable-size user sets. This does not make GNNs automatically superior: graph construction, edge semantics, oversmoothing, oversquashing, and out-of-distribution generalization remain design and evaluation concerns.</w:t>
      </w:r>
    </w:p>
    <w:p>
      <w:pPr>
        <w:pStyle w:val="Heading1"/>
      </w:pPr>
      <w:r>
        <w:t>5. Graph Neural Networks (GNNs) for Wireless Communications</w:t>
      </w:r>
    </w:p>
    <w:p>
      <w:pPr>
        <w:pStyle w:val="Heading2"/>
      </w:pPr>
      <w:r>
        <w:t>5.1 Graph representation</w:t>
      </w:r>
    </w:p>
    <w:p>
      <w:r>
        <w:t>Represent a scheduling snapshot as G=(V,E). Each node v_i represents a user and has features such as estimated channel magnitude or gain, uncertainty proxy, CSI age, mobility indicator, QoS demand, and possibly location or long-term statistics. An edge (i,j) represents a candidate pairing relation or a measured/estimated interaction. Edge features can include | |ĥ_i|²−|ĥ_j|² |, channel correlation, distance, interference coupling, and uncertainty of the pairwise contrast. For a strict ML-core study, edges may encode pairwise similarity/compatibility without calculating transmission power, SIC, SINR, or sum-rate. This preserves the stated scope boundary.</w:t>
      </w:r>
    </w:p>
    <w:p>
      <w:pPr>
        <w:pStyle w:val="Heading2"/>
      </w:pPr>
      <w:r>
        <w:t>5.2 Message passing and architectures</w:t>
      </w:r>
    </w:p>
    <w:p>
      <w:r>
        <w:t>A GCN aggregates normalized neighbor features and applies shared transformations; it is a strong baseline when a fixed graph and relatively smooth neighborhood aggregation are appropriate [9]. GraphSAGE samples or aggregates neighbor features and learns an inductive function that can be applied to unseen nodes and graph sizes [10]. Graph attention networks learn data-dependent weights for neighbors [11], potentially prioritizing informative pair relationships. In generic message passing, h_i^(l+1)=φ(h_i^l, AGG{ψ(h_i^l,h_j^l,e_ij): j∈N(i)}). Shared aggregation supports permutation equivariance: permuting node order permutes node outputs correspondingly. It does not by itself guarantee permutation-invariant final group assignments; matching, decoding, and tie-breaking must also respect user identity rather than array order.</w:t>
      </w:r>
    </w:p>
    <w:p>
      <w:pPr>
        <w:pStyle w:val="Heading2"/>
      </w:pPr>
      <w:r>
        <w:t>5.3 Relevance to wireless control</w:t>
      </w:r>
    </w:p>
    <w:p>
      <w:r>
        <w:t>GNNs have been applied to wireless power control, link scheduling, resource allocation, and related interference-coupled decisions. Representative work by Sun et al. uses graph neural networks for wireless power control [12], while other studies use learning to approximate scheduling and resource allocation policies [13], [14]. These works establish the value of relational inductive bias, but their objectives, graph semantics, and assumptions are not interchangeable with dynamic NOMA grouping under uncertain CSI. A GNN that predicts continuous transmit powers is not direct evidence that a graph model solves discrete grouping; similarly, a perfect-CSI link-scheduling result does not establish robustness to channel estimation errors.</w:t>
      </w:r>
    </w:p>
    <w:p>
      <w:pPr>
        <w:pStyle w:val="Heading2"/>
      </w:pPr>
      <w:r>
        <w:t>5.4 Proposed graph design and practical constraints</w:t>
      </w:r>
    </w:p>
    <w:p>
      <w:r>
        <w:t>For the present project, a node classifier can predict a grouping role or candidate group membership, while a pair-edge classifier can estimate compatibility. Pair-edge prediction is natural for matching but produces a combinatorial decoding step; node classification is simpler but may not enforce exactly-one-pair constraints. A practical pipeline should specify the output representation, enforce legal group sizes after inference, and evaluate whether invalid outputs are rare. GraphSAGE and GCN should be compared under the same feature set, data splits, and label budget. Edge ablations and permutation tests are important to establish that the graph structure contributes more than an MLP over the same node statistics.</w:t>
      </w:r>
    </w:p>
    <w:p>
      <w:pPr>
        <w:pStyle w:val="Heading1"/>
      </w:pPr>
      <w:r>
        <w:t>6. Semi-Supervised Learning and Uncertainty-Aware AI in Communications</w:t>
      </w:r>
    </w:p>
    <w:p>
      <w:pPr>
        <w:pStyle w:val="Heading2"/>
      </w:pPr>
      <w:r>
        <w:t>6.1 Label scarcity</w:t>
      </w:r>
    </w:p>
    <w:p>
      <w:r>
        <w:t>Optimal labels for grouping may require exhaustive search, mixed-integer optimization, or repeated evaluation of candidate pairs. Generating these labels for many channel snapshots and uncertainty regimes can be expensive. Semi-supervised learning uses a limited labelled subset alongside a larger unlabelled set. This is attractive when unlabelled CSI observations are easy to collect but trusted grouping labels are costly. However, unlabeled observations are useful only when their distribution is relevant and their feature definitions are available at inference time.</w:t>
      </w:r>
    </w:p>
    <w:p>
      <w:pPr>
        <w:pStyle w:val="Heading2"/>
      </w:pPr>
      <w:r>
        <w:t>6.2 Pseudo-labeling and confidence filtering</w:t>
      </w:r>
    </w:p>
    <w:p>
      <w:r>
        <w:t>In self-training, the model predicts labels for unlabelled graphs and uses selected predictions as additional training targets. A confidence filter accepts pseudo-label ŷ only when max_c p(c|G) ≥ τ_c. An uncertainty-aware filter can additionally require u(G) ≤ τ_u, where u may be predictive entropy, ensemble disagreement, or an estimated channel-error proxy. Thresholds should be tuned on validation data and reported, because aggressive filtering can improve pseudo-label precision while reducing coverage and amplifying selection bias. Calibration matters: a softmax score is not automatically a calibrated probability.</w:t>
      </w:r>
    </w:p>
    <w:p>
      <w:pPr>
        <w:pStyle w:val="Heading2"/>
      </w:pPr>
      <w:r>
        <w:t>6.3 Consistency regularization and graph augmentation</w:t>
      </w:r>
    </w:p>
    <w:p>
      <w:r>
        <w:t>Consistency methods encourage predictions to remain stable under semantics-preserving perturbations. For graphs, augmentations may include modest node-feature noise, edge dropout, feature masking, or alternative neighborhood sampling. Two independently augmented views G¹ and G² can be trained to produce consistent distributions, while labelled examples retain supervised loss. The augmentation must not alter the underlying label meaning: removing a critical candidate edge or corrupting channel ordering may create a different grouping problem rather than a valid perturbation. Dual-perturbation consistency can help regularize unlabeled data, but should be tested against a simpler confidence-threshold baseline.</w:t>
      </w:r>
    </w:p>
    <w:p>
      <w:pPr>
        <w:pStyle w:val="Heading2"/>
      </w:pPr>
      <w:r>
        <w:t>6.4 Epistemic and aleatoric uncertainty</w:t>
      </w:r>
    </w:p>
    <w:p>
      <w:r>
        <w:t>Aleatoric uncertainty reflects irreducible observation noise or ambiguity in the data, such as channel-estimation error. Epistemic uncertainty reflects model uncertainty due to limited training coverage and can often be approximated using ensembles, Monte Carlo dropout, or distributional methods. These sources are related but distinct: a model can be confident while the CSI is unreliable, or the CSI can be accurate while the model has not learned a new topology. A practical first implementation may use an explicit CSI error magnitude in training data and confidence-filtered pseudo-labels; a more mature system should separately estimate measurement uncertainty and predictive uncertainty, calibrate both, and assess risk-coverage trade-offs.</w:t>
      </w:r>
    </w:p>
    <w:p>
      <w:pPr>
        <w:pStyle w:val="Heading2"/>
      </w:pPr>
      <w:r>
        <w:t>6.5 Proposed learning objective</w:t>
      </w:r>
    </w:p>
    <w:p>
      <w:r>
        <w:t>A modular objective may be written L = L_sup + λ_u L_pseudo + λ_c L_consistency. L_sup is supervised cross-entropy or pairwise ranking loss on trusted labels; L_pseudo is applied only to accepted pseudo-labels; L_consistency penalizes divergence between predictions from two valid graph views. The acceptance rule can combine confidence, predicted uncertainty, and observed CSI reliability: accept only if confidence ≥ τ_c, predictive uncertainty ≤ τ_p, and CSI-quality indicators satisfy a chosen reliability rule. These are design options to test, not established guarantees. Report label efficiency, pseudo-label precision/coverage, calibration, robustness across CSI-error levels, and inference latency.</w:t>
      </w:r>
    </w:p>
    <w:p>
      <w:pPr>
        <w:pStyle w:val="Heading1"/>
      </w:pPr>
      <w:r>
        <w:t>7. Critical Literature Gap Analysis and Synthesis</w:t>
      </w:r>
    </w:p>
    <w:p>
      <w:pPr>
        <w:pStyle w:val="Heading2"/>
      </w:pPr>
      <w:r>
        <w:t>7.1 Comparative synthesis</w:t>
      </w:r>
    </w:p>
    <w:p>
      <w:r>
        <w:t>The literature establishes four strong foundations: (i) PD-NOMA and SIC provide a rationale for channel-aware grouping; (ii) matching and optimization can produce strong pairings but can be costly; (iii) imperfect CSI materially affects decoding and resource allocation; and (iv) GNNs learn relational policies in wireless systems. Semi-supervised learning offers a way to exploit unlabeled observations, while uncertainty estimation provides mechanisms for selective learning. The narrower intersection—dynamic NOMA grouping using graph representations, explicit CSI reliability features, and uncertainty-filtered pseudo-labels—remains a distinct research question rather than a conclusion already proven by any single cited work.</w:t>
      </w:r>
    </w:p>
    <w:p>
      <w:pPr>
        <w:pStyle w:val="Heading2"/>
      </w:pPr>
      <w:r>
        <w:t>7.2 Proposed research gap</w:t>
      </w:r>
    </w:p>
    <w:p>
      <w:r>
        <w:t>The central gap is the lack of a clearly evaluated ML grouping pipeline that jointly (a) represents variable-size user sets and pairwise compatibility as a graph, (b) treats CSI uncertainty as a first-class input rather than assuming exact channel knowledge or relying only on deterministic bounds, and (c) exploits unlabeled observations while controlling pseudo-label risk through confidence and uncertainty filters. The project addresses this gap with a standalone semi-supervised GNN (GCN/GraphSAGE) in PyTorch Geometric. A key methodological safeguard is to distinguish the true channel from its estimate: |h−ĥ|² is a valid offline feature when h is available for supervised dataset generation, but is not directly observable by a live scheduler. The deployment model must use an available estimate of uncertainty, or the experiment must clearly identify the feature as oracle/training-only.</w:t>
      </w:r>
    </w:p>
    <w:p>
      <w:pPr>
        <w:pStyle w:val="Heading2"/>
      </w:pPr>
      <w:r>
        <w:t>7.3 Scope, hypotheses, and evaluation</w:t>
      </w:r>
    </w:p>
    <w:p>
      <w:r>
        <w:t>The project deliberately excludes physical-layer transmission simulation from the ML core. It should not claim improved SINR, SIC reliability, or sum-rate solely from classification accuracy. The immediate endpoints are grouping-label agreement, pairwise F1/AUROC where appropriate, pseudo-label precision and coverage, robustness to controlled CSI perturbation, generalization to unseen graph sizes/topologies, runtime, and calibration. A downstream evaluator can later test feasibility, SIC, outage, and sum-rate using fixed physical-layer assumptions. Recommended hypotheses are: H1, graph models outperform feature-matched MLPs when relational structure is informative; H2, uncertainty-aware filtering improves pseudo-label precision at a measurable coverage cost; H3, training with varied CSI-error levels improves robustness under distribution shift; H4, GraphSAGE generalizes better than transductive-only baselines to unseen user sets. These are hypotheses to test, not assumed outcomes.</w:t>
      </w:r>
    </w:p>
    <w:p>
      <w:pPr>
        <w:pStyle w:val="Heading2"/>
      </w:pPr>
      <w:r>
        <w:t>7.4 Comparative analysis table</w:t>
      </w:r>
    </w:p>
    <w:p>
      <w:r>
        <w:t>The following synthesis is qualitative. “Mixed” means that the source covers multiple assumptions or the assumption depends on the particular system model; it should not be interpreted as evidence that every result explicitly models imperfect CSI.</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3366"/>
            <w:vAlign w:val="center"/>
          </w:tcPr>
          <w:p>
            <w:r>
              <w:rPr>
                <w:b/>
                <w:color w:val="FFFFFF"/>
                <w:sz w:val="16"/>
              </w:rPr>
              <w:t>Paper / Author &amp; Year</w:t>
            </w:r>
          </w:p>
        </w:tc>
        <w:tc>
          <w:tcPr>
            <w:tcW w:type="dxa" w:w="1337"/>
            <w:shd w:fill="003366"/>
            <w:vAlign w:val="center"/>
          </w:tcPr>
          <w:p>
            <w:r>
              <w:rPr>
                <w:b/>
                <w:color w:val="FFFFFF"/>
                <w:sz w:val="16"/>
              </w:rPr>
              <w:t>Technique / Architecture</w:t>
            </w:r>
          </w:p>
        </w:tc>
        <w:tc>
          <w:tcPr>
            <w:tcW w:type="dxa" w:w="1337"/>
            <w:shd w:fill="003366"/>
            <w:vAlign w:val="center"/>
          </w:tcPr>
          <w:p>
            <w:r>
              <w:rPr>
                <w:b/>
                <w:color w:val="FFFFFF"/>
                <w:sz w:val="16"/>
              </w:rPr>
              <w:t>CSI Assumption</w:t>
            </w:r>
          </w:p>
        </w:tc>
        <w:tc>
          <w:tcPr>
            <w:tcW w:type="dxa" w:w="1337"/>
            <w:shd w:fill="003366"/>
            <w:vAlign w:val="center"/>
          </w:tcPr>
          <w:p>
            <w:r>
              <w:rPr>
                <w:b/>
                <w:color w:val="FFFFFF"/>
                <w:sz w:val="16"/>
              </w:rPr>
              <w:t>Learning Paradigm</w:t>
            </w:r>
          </w:p>
        </w:tc>
        <w:tc>
          <w:tcPr>
            <w:tcW w:type="dxa" w:w="1337"/>
            <w:shd w:fill="003366"/>
            <w:vAlign w:val="center"/>
          </w:tcPr>
          <w:p>
            <w:r>
              <w:rPr>
                <w:b/>
                <w:color w:val="FFFFFF"/>
                <w:sz w:val="16"/>
              </w:rPr>
              <w:t>Graph Modeling</w:t>
            </w:r>
          </w:p>
        </w:tc>
        <w:tc>
          <w:tcPr>
            <w:tcW w:type="dxa" w:w="1337"/>
            <w:shd w:fill="003366"/>
            <w:vAlign w:val="center"/>
          </w:tcPr>
          <w:p>
            <w:r>
              <w:rPr>
                <w:b/>
                <w:color w:val="FFFFFF"/>
                <w:sz w:val="16"/>
              </w:rPr>
              <w:t>Uncertainty</w:t>
            </w:r>
          </w:p>
        </w:tc>
        <w:tc>
          <w:tcPr>
            <w:tcW w:type="dxa" w:w="1337"/>
            <w:shd w:fill="003366"/>
            <w:vAlign w:val="center"/>
          </w:tcPr>
          <w:p>
            <w:r>
              <w:rPr>
                <w:b/>
                <w:color w:val="FFFFFF"/>
                <w:sz w:val="16"/>
              </w:rPr>
              <w:t>Key limitations / gaps</w:t>
            </w:r>
          </w:p>
        </w:tc>
      </w:tr>
      <w:tr>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Islam et al., 2017 [1]</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Survey of PD-NOMA design, pairing, power allocation</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Mixed; many idealized analyses</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Analytical / optimization</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No</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None / model-dependent</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Broad survey; not a graph-based uncertainty-aware semi-supervised grouping pipeline.</w:t>
            </w:r>
          </w:p>
        </w:tc>
      </w:tr>
      <w:tr>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Liu et al., 2017 [3]</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NOMA foundations and 5G/beyond design survey</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Mixed</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Analytical / optimization</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No</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None / model-dependent</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Establishes NOMA context, but does not learn grouping from uncertain graph data.</w:t>
            </w:r>
          </w:p>
        </w:tc>
      </w:tr>
      <w:tr>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Ding et al., 2016 [4]</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Impact of user pairing on downlink NOMA</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Mostly model-based CSI assumptions</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Analytical</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No</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No explicit learned uncertainty</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Pairing insights depend on adopted channel/rate assumptions; no semi-supervised adaptation.</w:t>
            </w:r>
          </w:p>
        </w:tc>
      </w:tr>
      <w:tr>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Liang et al., 2017 [5]</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Matching algorithm for downlink NOMA pairing</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Channel/rate model specified by paper</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Optimization / matching</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Graph-theoretic matching, not GNN</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No explicit predictive uncertainty</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Matching can be costly and relies on computed pair utilities.</w:t>
            </w:r>
          </w:p>
        </w:tc>
      </w:tr>
      <w:tr>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Dang et al., 2022 [6]</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Optimization-based pairing in cell-free massive MIMO NOMA</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Considers channel-estimation aspects</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Optimization</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Graph not GNN</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Model-based CSI treatment</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Specialized cell-free setting; not a semi-supervised learned graph predictor.</w:t>
            </w:r>
          </w:p>
        </w:tc>
      </w:tr>
      <w:tr>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Ye et al., 2019 [7]</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Deep RL resource allocation for V2V</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Environment-dependent</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Reinforcement learning</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No explicit GNN in cited work</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Usually implicit in policy</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Different task and reward; not NOMA grouping with CSI-error features.</w:t>
            </w:r>
          </w:p>
        </w:tc>
      </w:tr>
      <w:tr>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O’Shea and Hoydis, 2017 [8]</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Deep learning for physical layer</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Task-dependent</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Supervised / unsupervised examples</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No</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Not central</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Foundational overview rather than uncertainty-aware user grouping.</w:t>
            </w:r>
          </w:p>
        </w:tc>
      </w:tr>
      <w:tr>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Kipf and Welling, 2017 [9]</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Graph convolutional network</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Not a wireless CSI paper</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Semi-supervised</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Yes</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No explicit uncertainty</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Core architecture reference; not a communications-specific grouping method.</w:t>
            </w:r>
          </w:p>
        </w:tc>
      </w:tr>
      <w:tr>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Hamilton et al., 2017 [10]</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GraphSAGE inductive aggregation</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Not a wireless CSI paper</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Supervised / unsupervised variants</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Yes</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No explicit uncertainty</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Supports inductive graphs but does not define NOMA labels or CSI robustness.</w:t>
            </w:r>
          </w:p>
        </w:tc>
      </w:tr>
      <w:tr>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Veličković et al., 2018 [11]</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Graph attention networks</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Not a wireless CSI paper</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Supervised / semi-supervised use</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Yes</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Attention weights are not calibrated uncertainty</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Attention is not equivalent to confidence or channel uncertainty.</w:t>
            </w:r>
          </w:p>
        </w:tc>
      </w:tr>
      <w:tr>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Sun et al., 2017 [12]</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Deep learning for wireless resource management</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Task-specific simulation/CSI</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Supervised learning-to-optimize</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Not the central contribution</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No general uncertainty filter</w:t>
            </w:r>
          </w:p>
        </w:tc>
        <w:tc>
          <w:tcPr>
            <w:tcW w:type="dxa" w:w="1337"/>
            <w:vAlign w:val="center"/>
            <w:tcBorders>
              <w:top w:val="single" w:sz="4" w:color="B7C9D6"/>
              <w:left w:val="single" w:sz="4" w:color="B7C9D6"/>
              <w:bottom w:val="single" w:sz="4" w:color="B7C9D6"/>
              <w:right w:val="single" w:sz="4" w:color="B7C9D6"/>
            </w:tcBorders>
          </w:tcPr>
          <w:p>
            <w:pPr>
              <w:spacing w:line="240" w:lineRule="auto"/>
            </w:pPr>
            <w:r>
              <w:rPr>
                <w:sz w:val="15"/>
              </w:rPr>
              <w:t>Approximates resource-management policies; not the proposed grouping/SSL intersection.</w:t>
            </w:r>
          </w:p>
        </w:tc>
      </w:tr>
      <w:tr>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Eisen and Ribeiro, 2020 [13]</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Graph neural network for wireless resource allocation</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Task-specific channel model</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Supervised / optimization-inspired</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Yes</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No explicit CSI-error pseudo-label filter</w:t>
            </w:r>
          </w:p>
        </w:tc>
        <w:tc>
          <w:tcPr>
            <w:tcW w:type="dxa" w:w="1337"/>
            <w:vAlign w:val="center"/>
            <w:shd w:fill="EAF0F7"/>
            <w:tcBorders>
              <w:top w:val="single" w:sz="4" w:color="B7C9D6"/>
              <w:left w:val="single" w:sz="4" w:color="B7C9D6"/>
              <w:bottom w:val="single" w:sz="4" w:color="B7C9D6"/>
              <w:right w:val="single" w:sz="4" w:color="B7C9D6"/>
            </w:tcBorders>
          </w:tcPr>
          <w:p>
            <w:pPr>
              <w:spacing w:line="240" w:lineRule="auto"/>
            </w:pPr>
            <w:r>
              <w:rPr>
                <w:sz w:val="15"/>
              </w:rPr>
              <w:t>Shows GNN utility for resource allocation, but grouping and semi-supervised uncertainty need separate study.</w:t>
            </w:r>
          </w:p>
        </w:tc>
      </w:tr>
    </w:tbl>
    <w:tbl>
      <w:tblPr>
        <w:tblW w:type="auto" w:w="0"/>
        <w:jc w:val="center"/>
        <w:tblLook w:firstColumn="1" w:firstRow="1" w:lastColumn="0" w:lastRow="0" w:noHBand="0" w:noVBand="1" w:val="04A0"/>
      </w:tblPr>
      <w:tblGrid>
        <w:gridCol w:w="9360"/>
      </w:tblGrid>
      <w:tr>
        <w:tc>
          <w:tcPr>
            <w:tcW w:type="dxa" w:w="9360"/>
            <w:shd w:fill="EAF0F7"/>
            <w:tcBorders>
              <w:top w:val="single" w:sz="10" w:color="003366"/>
              <w:left w:val="single" w:sz="20" w:color="003366"/>
              <w:bottom w:val="single" w:sz="10" w:color="003366"/>
              <w:right w:val="single" w:sz="10" w:color="003366"/>
            </w:tcBorders>
          </w:tcPr>
          <w:p>
            <w:r>
              <w:rPr>
                <w:b/>
                <w:color w:val="003366"/>
              </w:rPr>
              <w:t xml:space="preserve">Key research takeaway  </w:t>
            </w:r>
            <w:r>
              <w:t>The proposed contribution is not simply applying a GNN to wireless data. It is the combination of relational user grouping, an explicit and deployment-aware representation of CSI reliability, and semi-supervised pseudo-label acceptance based on both prediction confidence and uncertainty.</w:t>
            </w:r>
          </w:p>
        </w:tc>
      </w:tr>
    </w:tbl>
    <w:p/>
    <w:p>
      <w:pPr>
        <w:pStyle w:val="Heading1"/>
      </w:pPr>
      <w:r>
        <w:t>8. Bibliography</w:t>
      </w:r>
    </w:p>
    <w:p>
      <w:pPr>
        <w:spacing w:after="80"/>
        <w:ind w:left="360" w:hanging="360"/>
      </w:pPr>
      <w:r>
        <w:t>[1] S. M. R. Islam, N. Avazov, O. A. Dobre, and K. S. Kwak, “Power-domain non-orthogonal multiple access (NOMA) in 5G systems: Potentials and challenges,” IEEE Commun. Surveys Tuts., vol. 19, no. 2, pp. 721–742, 2017, doi: 10.1109/COMST.2016.2621116.</w:t>
      </w:r>
    </w:p>
    <w:p>
      <w:pPr>
        <w:spacing w:after="80"/>
        <w:ind w:left="360" w:hanging="360"/>
      </w:pPr>
      <w:r>
        <w:t>[2] Z. Ding, Y. Liu, J. Choi, Q. Sun, M. Elkashlan, C. Li, and H. V. Poor, “Application of non-orthogonal multiple access in LTE and 5G networks,” IEEE Commun. Mag., vol. 55, no. 2, pp. 185–191, Feb. 2017.</w:t>
      </w:r>
    </w:p>
    <w:p>
      <w:pPr>
        <w:spacing w:after="80"/>
        <w:ind w:left="360" w:hanging="360"/>
      </w:pPr>
      <w:r>
        <w:t>[3] Y. Liu, Z. Qin, M. Elkashlan, Z. Ding, A. Nallanathan, and L. Hanzo, “Nonorthogonal multiple access for 5G and beyond,” Proc. IEEE, vol. 105, no. 12, pp. 2347–2381, Dec. 2017, doi: 10.1109/JPROC.2017.2768666.</w:t>
      </w:r>
    </w:p>
    <w:p>
      <w:pPr>
        <w:spacing w:after="80"/>
        <w:ind w:left="360" w:hanging="360"/>
      </w:pPr>
      <w:r>
        <w:t>[4] Z. Ding, P. Fan, and H. V. Poor, “Impact of user pairing on 5G nonorthogonal multiple-access downlink transmissions,” IEEE Trans. Veh. Technol., vol. 65, no. 8, pp. 6010–6023, Aug. 2016.</w:t>
      </w:r>
    </w:p>
    <w:p>
      <w:pPr>
        <w:spacing w:after="80"/>
        <w:ind w:left="360" w:hanging="360"/>
      </w:pPr>
      <w:r>
        <w:t>[5] W. Liang, Z. Ding, Y. Li, and L. Song, “User pairing for downlink non-orthogonal multiple access networks using matching algorithm,” IEEE Trans. Commun., vol. 65, no. 12, pp. 5319–5332, Dec. 2017, doi: 10.1109/TCOMM.2017.2744640.</w:t>
      </w:r>
    </w:p>
    <w:p>
      <w:pPr>
        <w:spacing w:after="80"/>
        <w:ind w:left="360" w:hanging="360"/>
      </w:pPr>
      <w:r>
        <w:t>[6] X.-T. Dang, M. T. P. Le, H. V. Nguyen, S. Chatzinotas, and O.-S. Shin, “Optimal user pairing approach for NOMA-based cell-free massive MIMO systems,” IEEE Trans. Veh. Technol., 2022, doi: 10.1109/TVT.2022.3225835.</w:t>
      </w:r>
    </w:p>
    <w:p>
      <w:pPr>
        <w:spacing w:after="80"/>
        <w:ind w:left="360" w:hanging="360"/>
      </w:pPr>
      <w:r>
        <w:t>[7] H. Ye, G. Y. Li, and B.-H. Juang, “Deep reinforcement learning based resource allocation for V2V communications,” IEEE Trans. Veh. Technol., vol. 68, no. 4, pp. 3163–3173, Apr. 2019.</w:t>
      </w:r>
    </w:p>
    <w:p>
      <w:pPr>
        <w:spacing w:after="80"/>
        <w:ind w:left="360" w:hanging="360"/>
      </w:pPr>
      <w:r>
        <w:t>[8] T. O’Shea and J. Hoydis, “An introduction to deep learning for the physical layer,” IEEE Trans. Cogn. Commun. Netw., vol. 3, no. 4, pp. 563–575, Dec. 2017.</w:t>
      </w:r>
    </w:p>
    <w:p>
      <w:pPr>
        <w:spacing w:after="80"/>
        <w:ind w:left="360" w:hanging="360"/>
      </w:pPr>
      <w:r>
        <w:t>[9] T. N. Kipf and M. Welling, “Semi-supervised classification with graph convolutional networks,” in Proc. Int. Conf. Learn. Represent. (ICLR), 2017.</w:t>
      </w:r>
    </w:p>
    <w:p>
      <w:pPr>
        <w:spacing w:after="80"/>
        <w:ind w:left="360" w:hanging="360"/>
      </w:pPr>
      <w:r>
        <w:t>[10] W. L. Hamilton, R. Ying, and J. Leskovec, “Inductive representation learning on large graphs,” in Proc. Adv. Neural Inf. Process. Syst. (NeurIPS), 2017, pp. 1024–1034.</w:t>
      </w:r>
    </w:p>
    <w:p>
      <w:pPr>
        <w:spacing w:after="80"/>
        <w:ind w:left="360" w:hanging="360"/>
      </w:pPr>
      <w:r>
        <w:t>[11] P. Veličković et al., “Graph attention networks,” in Proc. Int. Conf. Learn. Represent. (ICLR), 2018.</w:t>
      </w:r>
    </w:p>
    <w:p>
      <w:pPr>
        <w:spacing w:after="80"/>
        <w:ind w:left="360" w:hanging="360"/>
      </w:pPr>
      <w:r>
        <w:t>[12] H. Sun, X. Chen, Q. Shi, M. Hong, X. Fu, and N. D. Sidiropoulos, “Learning to optimize: Training deep neural networks for wireless resource management,” in Proc. IEEE Int. Workshop Signal Process. Adv. Wireless Commun. (SPAWC), 2017, pp. 1–6.</w:t>
      </w:r>
    </w:p>
    <w:p>
      <w:pPr>
        <w:spacing w:after="80"/>
        <w:ind w:left="360" w:hanging="360"/>
      </w:pPr>
      <w:r>
        <w:t>[13] M. Eisen and A. Ribeiro, “Optimal wireless resource allocation with random edge graph neural networks,” IEEE Trans. Signal Process., vol. 68, pp. 2977–2991, 2020.</w:t>
      </w:r>
    </w:p>
    <w:p>
      <w:pPr>
        <w:spacing w:after="80"/>
        <w:ind w:left="360" w:hanging="360"/>
      </w:pPr>
      <w:r>
        <w:t>[14] F. Gama, A. G. Marques, G. Leus, and A. Ribeiro, “Convolutional neural network architectures for signals supported on graphs,” IEEE Trans. Signal Process., vol. 67, no. 4, pp. 1034–1049, Feb. 2019.</w:t>
      </w:r>
    </w:p>
    <w:p>
      <w:pPr>
        <w:spacing w:after="80"/>
        <w:ind w:left="360" w:hanging="360"/>
      </w:pPr>
      <w:r>
        <w:t>[15] J. Gilmer et al., “Neural message passing for quantum chemistry,” in Proc. 34th Int. Conf. Mach. Learn. (ICML), 2017, pp. 1263–1272.</w:t>
      </w:r>
    </w:p>
    <w:p>
      <w:pPr>
        <w:spacing w:after="80"/>
        <w:ind w:left="360" w:hanging="360"/>
      </w:pPr>
      <w:r>
        <w:t>[16] O. Simeone, “A brief introduction to machine learning for engineers,” Found. Trends Signal Process., vol. 12, nos. 3–4, pp. 200–431, 2018.</w:t>
      </w:r>
    </w:p>
    <w:p>
      <w:pPr>
        <w:spacing w:after="80"/>
        <w:ind w:left="360" w:hanging="360"/>
      </w:pPr>
      <w:r>
        <w:t>[17] A. Goldsmith, Wireless Communications. Cambridge, U.K.: Cambridge Univ. Press, 2005.</w:t>
      </w:r>
    </w:p>
    <w:p>
      <w:pPr>
        <w:spacing w:after="80"/>
        <w:ind w:left="360" w:hanging="360"/>
      </w:pPr>
      <w:r>
        <w:t>[18] T. S. Rappaport, Wireless Communications: Principles and Practice, 2nd ed. Upper Saddle River, NJ, USA: Prentice Hall, 2002.</w:t>
      </w:r>
    </w:p>
    <w:p>
      <w:pPr>
        <w:spacing w:after="80"/>
        <w:ind w:left="360" w:hanging="360"/>
      </w:pPr>
      <w:r>
        <w:t>[19] E. Björnson, J. Hoydis, and L. Sanguinetti, “Massive MIMO networks: Spectral, energy, and hardware efficiency,” Found. Trends Signal Process., vol. 11, nos. 3–4, pp. 154–655, 2017.</w:t>
      </w:r>
    </w:p>
    <w:p>
      <w:pPr>
        <w:spacing w:after="80"/>
        <w:ind w:left="360" w:hanging="360"/>
      </w:pPr>
      <w:r>
        <w:t>[20] H. Q. Ngo, E. G. Larsson, and T. L. Marzetta, “Energy and spectral efficiency of very large multiuser MIMO systems,” IEEE Trans. Commun., vol. 61, no. 4, pp. 1436–1449, Apr. 2013.</w:t>
      </w:r>
    </w:p>
    <w:p>
      <w:pPr>
        <w:spacing w:after="80"/>
        <w:ind w:left="360" w:hanging="360"/>
      </w:pPr>
      <w:r>
        <w:t>[21] S. Verdú, Multiuser Detection. Cambridge, U.K.: Cambridge Univ. Press, 1998.</w:t>
      </w:r>
    </w:p>
    <w:p>
      <w:pPr>
        <w:spacing w:after="80"/>
        <w:ind w:left="360" w:hanging="360"/>
      </w:pPr>
      <w:r>
        <w:t>[22] Z. Ding, R. Schober, and H. V. Poor, “A general MIMO framework for NOMA downlink and uplink transmission based on signal alignment,” IEEE Trans. Wireless Commun., vol. 15, no. 6, pp. 4438–4454, Jun. 2016.</w:t>
      </w:r>
    </w:p>
    <w:p>
      <w:pPr>
        <w:spacing w:after="80"/>
        <w:ind w:left="360" w:hanging="360"/>
      </w:pPr>
      <w:r>
        <w:t>[23] J. Choi, “Power allocation for max-sum-rate and max-min-rate proportional fairness in NOMA,” IEEE Commun. Lett., vol. 20, no. 10, pp. 2055–2058, Oct. 2016.</w:t>
      </w:r>
    </w:p>
    <w:p>
      <w:pPr>
        <w:spacing w:after="80"/>
        <w:ind w:left="360" w:hanging="360"/>
      </w:pPr>
      <w:r>
        <w:t>[24] A. Goldsmith and S.-G. Chua, “Variable-rate variable-power MQAM for fading channels,” IEEE Trans. Commun., vol. 45, no. 10, pp. 1218–1230, Oct. 1997.</w:t>
      </w:r>
    </w:p>
    <w:p>
      <w:pPr>
        <w:spacing w:after="80"/>
        <w:ind w:left="360" w:hanging="360"/>
      </w:pPr>
      <w:r>
        <w:t>[25] M. Schlichtkrull et al., “Modeling relational data with graph convolutional networks,” in Proc. Eur. Semantic Web Conf. (ESWC), 2018, pp. 593–607.</w:t>
      </w:r>
    </w:p>
    <w:p>
      <w:pPr>
        <w:spacing w:after="80"/>
        <w:ind w:left="360" w:hanging="360"/>
      </w:pPr>
      <w:r>
        <w:t>[26] A. Tarvainen and H. Valpola, “Mean teachers are better role models: Weight-averaged consistency targets improve semi-supervised deep learning results,” in Proc. Adv. Neural Inf. Process. Syst. (NeurIPS), 2017, pp. 1195–1204.</w:t>
      </w:r>
    </w:p>
    <w:p>
      <w:pPr>
        <w:spacing w:after="80"/>
        <w:ind w:left="360" w:hanging="360"/>
      </w:pPr>
      <w:r>
        <w:t>[27] D. P. Kingma, S. Mohamed, D. J. Rezende, and M. Welling, “Semi-supervised learning with deep generative models,” in Proc. Adv. Neural Inf. Process. Syst. (NeurIPS), 2014, pp. 3581–3589.</w:t>
      </w:r>
    </w:p>
    <w:p>
      <w:pPr>
        <w:spacing w:after="80"/>
        <w:ind w:left="360" w:hanging="360"/>
      </w:pPr>
      <w:r>
        <w:t>[28] Y. Gal and Z. Ghahramani, “Dropout as a Bayesian approximation: Representing model uncertainty in deep learning,” in Proc. 33rd Int. Conf. Mach. Learn. (ICML), 2016, pp. 1050–1059.</w:t>
      </w:r>
    </w:p>
    <w:p>
      <w:pPr>
        <w:spacing w:after="80"/>
        <w:ind w:left="360" w:hanging="360"/>
      </w:pPr>
      <w:r>
        <w:t>[29] A. Kendall and Y. Gal, “What uncertainties do we need in Bayesian deep learning for computer vision?” in Proc. Adv. Neural Inf. Process. Syst. (NeurIPS), 2017, pp. 5574–5584.</w:t>
      </w:r>
    </w:p>
    <w:p>
      <w:pPr>
        <w:spacing w:after="80"/>
        <w:ind w:left="360" w:hanging="360"/>
      </w:pPr>
      <w:r>
        <w:t>[30] A. Abadi et al., “A comprehensive survey on machine learning for networking: Evolution, applications and research opportunities,” J. Netw. Comput. Appl., vol. 113, pp. 57–80, 2018.</w:t>
      </w:r>
    </w:p>
    <w:p>
      <w:pPr>
        <w:pStyle w:val="Heading1"/>
      </w:pPr>
      <w:r>
        <w:t>Reproducibility and reporting checklist</w:t>
      </w:r>
    </w:p>
    <w:p>
      <w:pPr>
        <w:pStyle w:val="ListBullet"/>
      </w:pPr>
      <w:r>
        <w:t>State clearly whether |h−ĥ|² is available only for offline training/evaluation or whether an observable uncertainty proxy is used at inference.</w:t>
      </w:r>
    </w:p>
    <w:p>
      <w:pPr>
        <w:pStyle w:val="ListBullet"/>
      </w:pPr>
      <w:r>
        <w:t>Split train/validation/test by channel snapshot, topology, or trajectory to prevent near-duplicate leakage.</w:t>
      </w:r>
    </w:p>
    <w:p>
      <w:pPr>
        <w:pStyle w:val="ListBullet"/>
      </w:pPr>
      <w:r>
        <w:t>Compare GCN, GraphSAGE, and a feature-matched MLP; include heuristic sorting and matching baselines where labels can be generated.</w:t>
      </w:r>
    </w:p>
    <w:p>
      <w:pPr>
        <w:pStyle w:val="ListBullet"/>
      </w:pPr>
      <w:r>
        <w:t>Report label budget, pseudo-label threshold, accepted coverage, pseudo-label precision, calibration, and inference time.</w:t>
      </w:r>
    </w:p>
    <w:p>
      <w:pPr>
        <w:pStyle w:val="ListBullet"/>
      </w:pPr>
      <w:r>
        <w:t>Stress-test multiple CSI-error variances, feedback delays, user counts, and unseen graph topologies.</w:t>
      </w:r>
    </w:p>
    <w:p>
      <w:pPr>
        <w:pStyle w:val="ListBullet"/>
      </w:pPr>
      <w:r>
        <w:t>Do not infer physical-layer gains from grouping accuracy alone; use a separate downstream physical-layer evaluator for SINR, SIC, outage, and sum-rate.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336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