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center"/>
        <w:rPr>
          <w:rFonts w:ascii="Book Antiqua" w:cs="Book Antiqua" w:hAnsi="Book Antiqua" w:eastAsia="Book Antiqua"/>
          <w:b w:val="1"/>
          <w:bCs w:val="1"/>
          <w:caps w:val="1"/>
          <w:outline w:val="0"/>
          <w:color w:val="212121"/>
          <w:sz w:val="24"/>
          <w:szCs w:val="24"/>
          <w:u w:color="212121"/>
          <w14:textFill>
            <w14:solidFill>
              <w14:srgbClr w14:val="212121"/>
            </w14:solidFill>
          </w14:textFill>
        </w:rPr>
      </w:pPr>
      <w:r>
        <w:rPr>
          <w:rFonts w:ascii="Book Antiqua" w:hAnsi="Book Antiqua"/>
          <w:b w:val="1"/>
          <w:bCs w:val="1"/>
          <w:caps w:val="1"/>
          <w:outline w:val="0"/>
          <w:color w:val="212121"/>
          <w:sz w:val="24"/>
          <w:szCs w:val="24"/>
          <w:u w:color="212121"/>
          <w:rtl w:val="0"/>
          <w:lang w:val="en-US"/>
          <w14:textFill>
            <w14:solidFill>
              <w14:srgbClr w14:val="212121"/>
            </w14:solidFill>
          </w14:textFill>
        </w:rPr>
        <w:t>Modelling the topography of the ancient Lavrion: epigraphical sources, mental maps and GIS</w:t>
      </w:r>
    </w:p>
    <w:p>
      <w:pPr>
        <w:pStyle w:val="Normal.0"/>
        <w:jc w:val="center"/>
        <w:rPr>
          <w:sz w:val="24"/>
          <w:szCs w:val="24"/>
        </w:rPr>
      </w:pPr>
    </w:p>
    <w:p>
      <w:pPr>
        <w:pStyle w:val="Normal.0"/>
        <w:spacing w:line="240" w:lineRule="atLeast"/>
        <w:jc w:val="both"/>
        <w:rPr>
          <w:sz w:val="24"/>
          <w:szCs w:val="24"/>
        </w:rPr>
      </w:pPr>
    </w:p>
    <w:p>
      <w:pPr>
        <w:pStyle w:val="Normal.0"/>
        <w:spacing w:line="240" w:lineRule="atLeast"/>
        <w:jc w:val="both"/>
        <w:sectPr>
          <w:headerReference w:type="default" r:id="rId4"/>
          <w:footerReference w:type="default" r:id="rId5"/>
          <w:pgSz w:w="11900" w:h="16840" w:orient="portrait"/>
          <w:pgMar w:top="1418" w:right="1418" w:bottom="1418" w:left="1418" w:header="720" w:footer="720"/>
          <w:bidi w:val="0"/>
        </w:sectPr>
      </w:pPr>
      <w:r/>
    </w:p>
    <w:p>
      <w:pPr>
        <w:pStyle w:val="Normal.0"/>
        <w:spacing w:before="20"/>
        <w:jc w:val="both"/>
        <w:rPr>
          <w:b w:val="1"/>
          <w:bCs w:val="1"/>
          <w:i w:val="1"/>
          <w:iCs w:val="1"/>
          <w:sz w:val="24"/>
          <w:szCs w:val="24"/>
          <w:lang w:val="de-DE"/>
        </w:rPr>
      </w:pPr>
    </w:p>
    <w:p>
      <w:pPr>
        <w:pStyle w:val="Normal.0"/>
        <w:spacing w:before="20"/>
        <w:jc w:val="both"/>
        <w:rPr>
          <w:b w:val="1"/>
          <w:bCs w:val="1"/>
          <w:i w:val="1"/>
          <w:iCs w:val="1"/>
          <w:sz w:val="24"/>
          <w:szCs w:val="24"/>
          <w:lang w:val="de-DE"/>
        </w:rPr>
      </w:pPr>
      <w:r>
        <w:rPr>
          <w:b w:val="1"/>
          <w:bCs w:val="1"/>
          <w:i w:val="1"/>
          <w:iCs w:val="1"/>
          <w:sz w:val="24"/>
          <w:szCs w:val="24"/>
          <w:rtl w:val="0"/>
          <w:lang w:val="de-DE"/>
        </w:rPr>
        <w:t>Abstract</w:t>
      </w:r>
    </w:p>
    <w:p>
      <w:pPr>
        <w:pStyle w:val="Normal.0"/>
        <w:spacing w:before="20"/>
        <w:jc w:val="both"/>
        <w:rPr>
          <w:sz w:val="24"/>
          <w:szCs w:val="24"/>
        </w:rPr>
      </w:pPr>
    </w:p>
    <w:p>
      <w:pPr>
        <w:pStyle w:val="Normal.0"/>
        <w:jc w:val="both"/>
        <w:rPr>
          <w:sz w:val="24"/>
          <w:szCs w:val="24"/>
        </w:rPr>
      </w:pPr>
      <w:r>
        <w:rPr>
          <w:sz w:val="24"/>
          <w:szCs w:val="24"/>
          <w:rtl w:val="0"/>
          <w:lang w:val="en-US"/>
        </w:rPr>
        <w:t xml:space="preserve">In this contribution, we present an attempt to approach the past landscape of the Lavrion area, considering inscriptions dated to the 4th cent. BCE, recording the leases of the mines by the Athenian polity to individuals (the </w:t>
      </w:r>
      <w:r>
        <w:rPr>
          <w:i w:val="1"/>
          <w:iCs w:val="1"/>
          <w:sz w:val="24"/>
          <w:szCs w:val="24"/>
          <w:rtl w:val="0"/>
          <w:lang w:val="en-US"/>
        </w:rPr>
        <w:t>poletae</w:t>
      </w:r>
      <w:r>
        <w:rPr>
          <w:sz w:val="24"/>
          <w:szCs w:val="24"/>
          <w:rtl w:val="0"/>
          <w:lang w:val="en-US"/>
        </w:rPr>
        <w:t xml:space="preserve"> record), as mental maps. The research aim is threefold: first, to reconstruct a flexible set of abstract mental maps, beyond a defined geometric space, in order to explore the network of spatial relationships defined in the epigraphical record and the social and economic meanings involved; second, to develop a methodology for the production of an </w:t>
      </w:r>
      <w:r>
        <w:rPr>
          <w:sz w:val="24"/>
          <w:szCs w:val="24"/>
          <w:rtl w:val="0"/>
          <w:lang w:val="en-US"/>
        </w:rPr>
        <w:t>“</w:t>
      </w:r>
      <w:r>
        <w:rPr>
          <w:sz w:val="24"/>
          <w:szCs w:val="24"/>
          <w:rtl w:val="0"/>
          <w:lang w:val="en-US"/>
        </w:rPr>
        <w:t>intermediate</w:t>
      </w:r>
      <w:r>
        <w:rPr>
          <w:sz w:val="24"/>
          <w:szCs w:val="24"/>
          <w:rtl w:val="0"/>
          <w:lang w:val="en-US"/>
        </w:rPr>
        <w:t xml:space="preserve">” </w:t>
      </w:r>
      <w:r>
        <w:rPr>
          <w:sz w:val="24"/>
          <w:szCs w:val="24"/>
          <w:rtl w:val="0"/>
          <w:lang w:val="en-US"/>
        </w:rPr>
        <w:t xml:space="preserve">map, spatially and geometrically correct, which transforms the mental map into an intra-referential map; third, final goal is to proceed to a reconstruction (insofar it is possible) of the landscape and the topographical layout of the area as in the 4th cent. </w:t>
      </w:r>
      <w:r>
        <w:rPr>
          <w:sz w:val="24"/>
          <w:szCs w:val="24"/>
          <w:rtl w:val="0"/>
          <w:lang w:val="it-IT"/>
        </w:rPr>
        <w:t>BCE.</w:t>
      </w:r>
    </w:p>
    <w:p>
      <w:pPr>
        <w:pStyle w:val="Normal.0"/>
        <w:jc w:val="both"/>
        <w:rPr>
          <w:sz w:val="24"/>
          <w:szCs w:val="24"/>
          <w:lang w:val="it-IT"/>
        </w:rPr>
      </w:pPr>
    </w:p>
    <w:p>
      <w:pPr>
        <w:pStyle w:val="Normal.0"/>
        <w:spacing w:before="20"/>
        <w:jc w:val="both"/>
        <w:rPr>
          <w:b w:val="1"/>
          <w:bCs w:val="1"/>
          <w:i w:val="1"/>
          <w:iCs w:val="1"/>
          <w:sz w:val="24"/>
          <w:szCs w:val="24"/>
          <w:lang w:val="de-DE"/>
        </w:rPr>
      </w:pPr>
      <w:r>
        <w:rPr>
          <w:b w:val="1"/>
          <w:bCs w:val="1"/>
          <w:i w:val="1"/>
          <w:iCs w:val="1"/>
          <w:sz w:val="24"/>
          <w:szCs w:val="24"/>
          <w:rtl w:val="0"/>
          <w:lang w:val="de-DE"/>
        </w:rPr>
        <w:t>Riassunto</w:t>
      </w:r>
    </w:p>
    <w:p>
      <w:pPr>
        <w:pStyle w:val="Normal.0"/>
        <w:jc w:val="both"/>
        <w:rPr>
          <w:sz w:val="24"/>
          <w:szCs w:val="24"/>
          <w:lang w:val="it-IT"/>
        </w:rPr>
      </w:pPr>
      <w:r>
        <w:rPr>
          <w:sz w:val="24"/>
          <w:szCs w:val="24"/>
          <w:rtl w:val="0"/>
          <w:lang w:val="it-IT"/>
        </w:rPr>
        <w:t xml:space="preserve">In questo contributo, presentiamo un tentativo di avvicinamento al paesaggio antico dell'area del Lavrion, in Attica, prendendo in considerazione come mappe mentali alcune iscrizioni datate al IV secolo a.C., la lista dei </w:t>
      </w:r>
      <w:r>
        <w:rPr>
          <w:i w:val="1"/>
          <w:iCs w:val="1"/>
          <w:sz w:val="24"/>
          <w:szCs w:val="24"/>
          <w:rtl w:val="0"/>
          <w:lang w:val="it-IT"/>
        </w:rPr>
        <w:t>poletae</w:t>
      </w:r>
      <w:r>
        <w:rPr>
          <w:sz w:val="24"/>
          <w:szCs w:val="24"/>
          <w:rtl w:val="0"/>
          <w:lang w:val="it-IT"/>
        </w:rPr>
        <w:t xml:space="preserve">, che registravano gli affitti delle miniere da parte del sistema politico ateniese ad individui. Lo scopo della ricerca </w:t>
      </w:r>
      <w:r>
        <w:rPr>
          <w:sz w:val="24"/>
          <w:szCs w:val="24"/>
          <w:rtl w:val="0"/>
          <w:lang w:val="it-IT"/>
        </w:rPr>
        <w:t xml:space="preserve">è </w:t>
      </w:r>
      <w:r>
        <w:rPr>
          <w:sz w:val="24"/>
          <w:szCs w:val="24"/>
          <w:rtl w:val="0"/>
          <w:lang w:val="it-IT"/>
        </w:rPr>
        <w:t>triplice: in primo luogo, ricostruire un insieme flessibile di mappe mentali astratte, al di l</w:t>
      </w:r>
      <w:r>
        <w:rPr>
          <w:sz w:val="24"/>
          <w:szCs w:val="24"/>
          <w:rtl w:val="0"/>
          <w:lang w:val="it-IT"/>
        </w:rPr>
        <w:t xml:space="preserve">à </w:t>
      </w:r>
      <w:r>
        <w:rPr>
          <w:sz w:val="24"/>
          <w:szCs w:val="24"/>
          <w:rtl w:val="0"/>
          <w:lang w:val="it-IT"/>
        </w:rPr>
        <w:t xml:space="preserve">di uno spazio geometrico definito, al fine di esplorare la rete di relazioni spaziali definita nella registrazione epigrafica e i significati sociali ed economici coinvolti; in secondo luogo, sviluppare una metodologia per la produzione di una mappa </w:t>
      </w:r>
      <w:r>
        <w:rPr>
          <w:sz w:val="24"/>
          <w:szCs w:val="24"/>
          <w:rtl w:val="0"/>
          <w:lang w:val="it-IT"/>
        </w:rPr>
        <w:t>“</w:t>
      </w:r>
      <w:r>
        <w:rPr>
          <w:sz w:val="24"/>
          <w:szCs w:val="24"/>
          <w:rtl w:val="0"/>
          <w:lang w:val="it-IT"/>
        </w:rPr>
        <w:t>intermedia</w:t>
      </w:r>
      <w:r>
        <w:rPr>
          <w:sz w:val="24"/>
          <w:szCs w:val="24"/>
          <w:rtl w:val="0"/>
          <w:lang w:val="it-IT"/>
        </w:rPr>
        <w:t>”</w:t>
      </w:r>
      <w:r>
        <w:rPr>
          <w:sz w:val="24"/>
          <w:szCs w:val="24"/>
          <w:rtl w:val="0"/>
          <w:lang w:val="it-IT"/>
        </w:rPr>
        <w:t xml:space="preserve">, spazialmente e geometricamente corretta, che trasformi la mappa mentale in una mappa intra-referenziale; in terzo luogo, obiettivo finale </w:t>
      </w:r>
      <w:r>
        <w:rPr>
          <w:sz w:val="24"/>
          <w:szCs w:val="24"/>
          <w:rtl w:val="0"/>
          <w:lang w:val="it-IT"/>
        </w:rPr>
        <w:t xml:space="preserve">è </w:t>
      </w:r>
      <w:r>
        <w:rPr>
          <w:sz w:val="24"/>
          <w:szCs w:val="24"/>
          <w:rtl w:val="0"/>
          <w:lang w:val="it-IT"/>
        </w:rPr>
        <w:t>quello di procedere ad una ricostruzione (per quanto possibile) del paesaggio e dell'assetto topografico dell'area come si presentava nel IV secolo a.C.</w:t>
      </w:r>
    </w:p>
    <w:p>
      <w:pPr>
        <w:pStyle w:val="Normal.0"/>
        <w:jc w:val="both"/>
        <w:rPr>
          <w:sz w:val="24"/>
          <w:szCs w:val="24"/>
          <w:lang w:val="it-IT"/>
        </w:rPr>
      </w:pPr>
    </w:p>
    <w:p>
      <w:pPr>
        <w:pStyle w:val="Normal.0"/>
        <w:spacing w:before="20"/>
        <w:jc w:val="both"/>
        <w:rPr>
          <w:b w:val="1"/>
          <w:bCs w:val="1"/>
          <w:sz w:val="24"/>
          <w:szCs w:val="24"/>
          <w:lang w:val="it-IT"/>
        </w:rPr>
      </w:pPr>
    </w:p>
    <w:p>
      <w:pPr>
        <w:pStyle w:val="Normal.0"/>
        <w:spacing w:before="20"/>
        <w:jc w:val="both"/>
        <w:rPr>
          <w:i w:val="1"/>
          <w:iCs w:val="1"/>
          <w:sz w:val="24"/>
          <w:szCs w:val="24"/>
        </w:rPr>
      </w:pPr>
      <w:r>
        <w:rPr>
          <w:i w:val="1"/>
          <w:iCs w:val="1"/>
          <w:sz w:val="24"/>
          <w:szCs w:val="24"/>
          <w:rtl w:val="0"/>
          <w:lang w:val="en-US"/>
        </w:rPr>
        <w:t xml:space="preserve">Keywords: </w:t>
      </w:r>
      <w:r>
        <w:rPr>
          <w:sz w:val="24"/>
          <w:szCs w:val="24"/>
          <w:rtl w:val="0"/>
          <w:lang w:val="en-US"/>
        </w:rPr>
        <w:t>Mental maps, GIS, epigraphy, Lavrion mines, landscape.</w:t>
      </w:r>
    </w:p>
    <w:p>
      <w:pPr>
        <w:pStyle w:val="Normal.0"/>
        <w:spacing w:before="20"/>
        <w:jc w:val="both"/>
        <w:rPr>
          <w:b w:val="1"/>
          <w:bCs w:val="1"/>
          <w:sz w:val="24"/>
          <w:szCs w:val="24"/>
        </w:rPr>
      </w:pPr>
      <w:r>
        <w:rPr>
          <w:sz w:val="24"/>
          <w:szCs w:val="24"/>
        </w:rPr>
        <mc:AlternateContent>
          <mc:Choice Requires="wps">
            <w:drawing xmlns:a="http://schemas.openxmlformats.org/drawingml/2006/main">
              <wp:anchor distT="0" distB="0" distL="0" distR="0" simplePos="0" relativeHeight="251659264" behindDoc="0" locked="0" layoutInCell="1" allowOverlap="1">
                <wp:simplePos x="0" y="0"/>
                <wp:positionH relativeFrom="column">
                  <wp:posOffset>21906</wp:posOffset>
                </wp:positionH>
                <wp:positionV relativeFrom="line">
                  <wp:posOffset>99376</wp:posOffset>
                </wp:positionV>
                <wp:extent cx="5753102" cy="0"/>
                <wp:effectExtent l="0" t="0" r="0" b="0"/>
                <wp:wrapNone/>
                <wp:docPr id="1073741825" name="officeArt object" descr="officeArt object"/>
                <wp:cNvGraphicFramePr/>
                <a:graphic xmlns:a="http://schemas.openxmlformats.org/drawingml/2006/main">
                  <a:graphicData uri="http://schemas.microsoft.com/office/word/2010/wordprocessingShape">
                    <wps:wsp>
                      <wps:cNvSpPr/>
                      <wps:spPr>
                        <a:xfrm>
                          <a:off x="0" y="0"/>
                          <a:ext cx="5753102" cy="0"/>
                        </a:xfrm>
                        <a:prstGeom prst="line">
                          <a:avLst/>
                        </a:prstGeom>
                        <a:noFill/>
                        <a:ln w="9525" cap="flat">
                          <a:solidFill>
                            <a:srgbClr val="000000"/>
                          </a:solidFill>
                          <a:prstDash val="solid"/>
                          <a:round/>
                        </a:ln>
                        <a:effectLst/>
                      </wps:spPr>
                      <wps:bodyPr/>
                    </wps:wsp>
                  </a:graphicData>
                </a:graphic>
              </wp:anchor>
            </w:drawing>
          </mc:Choice>
          <mc:Fallback>
            <w:pict>
              <v:line id="_x0000_s1026" style="visibility:visible;position:absolute;margin-left:1.7pt;margin-top:7.8pt;width:453.0pt;height:0.0pt;z-index:25165926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Normal.0"/>
        <w:spacing w:before="20"/>
        <w:jc w:val="both"/>
        <w:rPr>
          <w:b w:val="1"/>
          <w:bCs w:val="1"/>
          <w:sz w:val="24"/>
          <w:szCs w:val="24"/>
        </w:rPr>
      </w:pPr>
    </w:p>
    <w:p>
      <w:pPr>
        <w:pStyle w:val="Normal.0"/>
        <w:jc w:val="both"/>
        <w:rPr>
          <w:b w:val="1"/>
          <w:bCs w:val="1"/>
          <w:sz w:val="24"/>
          <w:szCs w:val="24"/>
        </w:rPr>
      </w:pPr>
    </w:p>
    <w:p>
      <w:pPr>
        <w:pStyle w:val="Normal.0"/>
        <w:jc w:val="both"/>
        <w:rPr>
          <w:b w:val="1"/>
          <w:bCs w:val="1"/>
          <w:sz w:val="24"/>
          <w:szCs w:val="24"/>
        </w:rPr>
      </w:pPr>
    </w:p>
    <w:p>
      <w:pPr>
        <w:pStyle w:val="Normal.0"/>
        <w:jc w:val="both"/>
        <w:rPr>
          <w:sz w:val="24"/>
          <w:szCs w:val="24"/>
        </w:rPr>
      </w:pPr>
      <w:r>
        <w:rPr>
          <w:sz w:val="24"/>
          <w:szCs w:val="24"/>
          <w:rtl w:val="0"/>
          <w:lang w:val="en-US"/>
        </w:rPr>
        <w:t xml:space="preserve">In this contribution, we present a research plan to explore what we could perceive as an </w:t>
      </w:r>
      <w:r>
        <w:rPr>
          <w:sz w:val="24"/>
          <w:szCs w:val="24"/>
          <w:rtl w:val="0"/>
          <w:lang w:val="en-US"/>
        </w:rPr>
        <w:t>“</w:t>
      </w:r>
      <w:r>
        <w:rPr>
          <w:sz w:val="24"/>
          <w:szCs w:val="24"/>
          <w:rtl w:val="0"/>
          <w:lang w:val="en-US"/>
        </w:rPr>
        <w:t>ancient landscape</w:t>
      </w:r>
      <w:r>
        <w:rPr>
          <w:sz w:val="24"/>
          <w:szCs w:val="24"/>
          <w:rtl w:val="0"/>
          <w:lang w:val="en-US"/>
        </w:rPr>
        <w:t>”</w:t>
      </w:r>
      <w:r>
        <w:rPr>
          <w:sz w:val="24"/>
          <w:szCs w:val="24"/>
          <w:rtl w:val="0"/>
          <w:lang w:val="en-US"/>
        </w:rPr>
        <w:t xml:space="preserve">, considering a certain epigraphic corpus as a source for touching upon ancient mental maps.  It is aimed that the decoding of the structural principles of these maps will provide a key for translating the ancient map to a modern one, employing a GIS platform;  the reconstruction of past mental maps in a GIS environment has been a challenge since the late </w:t>
      </w:r>
      <w:r>
        <w:rPr>
          <w:sz w:val="24"/>
          <w:szCs w:val="24"/>
          <w:rtl w:val="0"/>
          <w:lang w:val="en-US"/>
        </w:rPr>
        <w:t>‘</w:t>
      </w:r>
      <w:r>
        <w:rPr>
          <w:sz w:val="24"/>
          <w:szCs w:val="24"/>
          <w:rtl w:val="0"/>
          <w:lang w:val="en-US"/>
        </w:rPr>
        <w:t>90s</w:t>
      </w:r>
      <w:r>
        <w:rPr>
          <w:sz w:val="24"/>
          <w:szCs w:val="24"/>
          <w:vertAlign w:val="superscript"/>
        </w:rPr>
        <w:footnoteReference w:id="1"/>
      </w:r>
      <w:r>
        <w:rPr>
          <w:sz w:val="24"/>
          <w:szCs w:val="24"/>
          <w:rtl w:val="0"/>
          <w:lang w:val="en-US"/>
        </w:rPr>
        <w:t xml:space="preserve">.  </w:t>
      </w:r>
    </w:p>
    <w:p>
      <w:pPr>
        <w:pStyle w:val="Normal.0"/>
        <w:jc w:val="both"/>
        <w:rPr>
          <w:sz w:val="24"/>
          <w:szCs w:val="24"/>
        </w:rPr>
      </w:pPr>
      <w:r>
        <w:rPr>
          <w:sz w:val="24"/>
          <w:szCs w:val="24"/>
          <w:rtl w:val="0"/>
          <w:lang w:val="en-US"/>
        </w:rPr>
        <w:t xml:space="preserve">Next step is the development of links to present day topography obtaining a deeper understanding of the landscape palimpsest as the bearer of a diachronic thread of shared spatial values.  A first corollary of such an understanding will be a potential identification of certain material features of past </w:t>
      </w:r>
      <w:r>
        <w:rPr>
          <w:sz w:val="24"/>
          <w:szCs w:val="24"/>
          <w:rtl w:val="0"/>
          <w:lang w:val="en-US"/>
        </w:rPr>
        <w:t>“</w:t>
      </w:r>
      <w:r>
        <w:rPr>
          <w:sz w:val="24"/>
          <w:szCs w:val="24"/>
          <w:rtl w:val="0"/>
          <w:lang w:val="en-US"/>
        </w:rPr>
        <w:t>taskscapes</w:t>
      </w:r>
      <w:r>
        <w:rPr>
          <w:sz w:val="24"/>
          <w:szCs w:val="24"/>
          <w:rtl w:val="0"/>
          <w:lang w:val="en-US"/>
        </w:rPr>
        <w:t>”</w:t>
      </w:r>
      <w:r>
        <w:rPr>
          <w:sz w:val="24"/>
          <w:szCs w:val="24"/>
          <w:vertAlign w:val="superscript"/>
        </w:rPr>
        <w:footnoteReference w:id="2"/>
      </w:r>
      <w:r>
        <w:rPr>
          <w:sz w:val="24"/>
          <w:szCs w:val="24"/>
          <w:rtl w:val="0"/>
          <w:lang w:val="en-US"/>
        </w:rPr>
        <w:t>, recorded in the inscriptions, with presently observable material remains. A second, will be to apprehend the landscape we experience today as integral part of the socioeconomics of a past society.</w:t>
      </w:r>
    </w:p>
    <w:p>
      <w:pPr>
        <w:pStyle w:val="Normal.0"/>
        <w:jc w:val="both"/>
        <w:rPr>
          <w:sz w:val="24"/>
          <w:szCs w:val="24"/>
        </w:rPr>
      </w:pPr>
      <w:r>
        <w:rPr>
          <w:sz w:val="24"/>
          <w:szCs w:val="24"/>
          <w:rtl w:val="0"/>
          <w:lang w:val="en-US"/>
        </w:rPr>
        <w:t>The reason for presenting this research attempt, at such a preliminary stage, is to stir a discussion on the proposed methodology and develop a ground for potential collaboration which would link cases analogous to the one presented here. Thus we may ultimately arrive at a generally applicable tool.</w:t>
      </w:r>
    </w:p>
    <w:p>
      <w:pPr>
        <w:pStyle w:val="Normal.0"/>
        <w:jc w:val="both"/>
        <w:rPr>
          <w:sz w:val="24"/>
          <w:szCs w:val="24"/>
        </w:rPr>
      </w:pPr>
      <w:r>
        <w:rPr>
          <w:sz w:val="24"/>
          <w:szCs w:val="24"/>
          <w:rtl w:val="0"/>
          <w:lang w:val="en-US"/>
        </w:rPr>
        <w:t xml:space="preserve">The landscape to be explored, as a case study, is the palimpsest of the ancient-to-modern mining district of Lavrion in Attica, combining strong visibility of the remains of mines and workshops with technology-laden materials; the certain epigraphic data to be analysed derive from the </w:t>
      </w:r>
      <w:r>
        <w:rPr>
          <w:i w:val="1"/>
          <w:iCs w:val="1"/>
          <w:sz w:val="24"/>
          <w:szCs w:val="24"/>
          <w:rtl w:val="0"/>
          <w:lang w:val="en-US"/>
        </w:rPr>
        <w:t xml:space="preserve">Poletae </w:t>
      </w:r>
      <w:r>
        <w:rPr>
          <w:sz w:val="24"/>
          <w:szCs w:val="24"/>
          <w:rtl w:val="0"/>
          <w:lang w:val="en-US"/>
        </w:rPr>
        <w:t xml:space="preserve">records inscriptions (see below), dated in the 4th cent. BCE (mainly in its second half). </w:t>
      </w:r>
    </w:p>
    <w:p>
      <w:pPr>
        <w:pStyle w:val="Normal.0"/>
        <w:jc w:val="both"/>
        <w:rPr>
          <w:sz w:val="24"/>
          <w:szCs w:val="24"/>
        </w:rPr>
      </w:pPr>
      <w:r>
        <w:rPr>
          <w:sz w:val="24"/>
          <w:szCs w:val="24"/>
          <w:rtl w:val="0"/>
          <w:lang w:val="en-US"/>
        </w:rPr>
        <w:t xml:space="preserve">Our methodological premises are built upon a consensus developed ever since </w:t>
      </w:r>
      <w:r>
        <w:rPr>
          <w:sz w:val="24"/>
          <w:szCs w:val="24"/>
          <w:rtl w:val="0"/>
          <w:lang w:val="fr-FR"/>
        </w:rPr>
        <w:t>Merleau-Ponty</w:t>
      </w:r>
      <w:r>
        <w:rPr>
          <w:sz w:val="24"/>
          <w:szCs w:val="24"/>
          <w:rtl w:val="0"/>
          <w:lang w:val="fr-FR"/>
        </w:rPr>
        <w:t>’</w:t>
      </w:r>
      <w:r>
        <w:rPr>
          <w:sz w:val="24"/>
          <w:szCs w:val="24"/>
          <w:rtl w:val="0"/>
          <w:lang w:val="fr-FR"/>
        </w:rPr>
        <w:t>s body-space phenomenology</w:t>
      </w:r>
      <w:r>
        <w:rPr>
          <w:i w:val="1"/>
          <w:iCs w:val="1"/>
          <w:sz w:val="24"/>
          <w:szCs w:val="24"/>
          <w:rtl w:val="0"/>
          <w:lang w:val="fr-FR"/>
        </w:rPr>
        <w:t xml:space="preserve"> </w:t>
      </w:r>
      <w:r>
        <w:rPr>
          <w:sz w:val="24"/>
          <w:szCs w:val="24"/>
          <w:rtl w:val="0"/>
          <w:lang w:val="fr-FR"/>
        </w:rPr>
        <w:t>(1945)</w:t>
      </w:r>
      <w:r>
        <w:rPr>
          <w:sz w:val="24"/>
          <w:szCs w:val="24"/>
          <w:vertAlign w:val="superscript"/>
          <w:lang w:val="fr-FR"/>
        </w:rPr>
        <w:footnoteReference w:id="3"/>
      </w:r>
      <w:r>
        <w:rPr>
          <w:sz w:val="24"/>
          <w:szCs w:val="24"/>
          <w:rtl w:val="0"/>
          <w:lang w:val="fr-FR"/>
        </w:rPr>
        <w:t xml:space="preserve"> and </w:t>
      </w:r>
      <w:r>
        <w:rPr>
          <w:sz w:val="24"/>
          <w:szCs w:val="24"/>
          <w:rtl w:val="0"/>
          <w:lang w:val="en-US"/>
        </w:rPr>
        <w:t>Piaget</w:t>
      </w:r>
      <w:r>
        <w:rPr>
          <w:sz w:val="24"/>
          <w:szCs w:val="24"/>
          <w:rtl w:val="0"/>
          <w:lang w:val="en-US"/>
        </w:rPr>
        <w:t>’</w:t>
      </w:r>
      <w:r>
        <w:rPr>
          <w:sz w:val="24"/>
          <w:szCs w:val="24"/>
          <w:rtl w:val="0"/>
          <w:lang w:val="en-US"/>
        </w:rPr>
        <w:t>s schemas</w:t>
      </w:r>
      <w:r>
        <w:rPr>
          <w:i w:val="1"/>
          <w:iCs w:val="1"/>
          <w:sz w:val="24"/>
          <w:szCs w:val="24"/>
          <w:rtl w:val="0"/>
          <w:lang w:val="en-US"/>
        </w:rPr>
        <w:t xml:space="preserve"> </w:t>
      </w:r>
      <w:r>
        <w:rPr>
          <w:sz w:val="24"/>
          <w:szCs w:val="24"/>
          <w:rtl w:val="0"/>
          <w:lang w:val="en-US"/>
        </w:rPr>
        <w:t>(1952)</w:t>
      </w:r>
      <w:r>
        <w:rPr>
          <w:sz w:val="24"/>
          <w:szCs w:val="24"/>
          <w:vertAlign w:val="superscript"/>
          <w:lang w:val="en-US"/>
        </w:rPr>
        <w:footnoteReference w:id="4"/>
      </w:r>
      <w:r>
        <w:rPr>
          <w:sz w:val="24"/>
          <w:szCs w:val="24"/>
          <w:rtl w:val="0"/>
          <w:lang w:val="en-US"/>
        </w:rPr>
        <w:t>, that the experience and the subsequent learning of the landscape, in its three dimensional setting, is both generated by bio-physiological conditions (e.g. sensory organs) and structured via socio-cultural factors.  The latter emerge at the intersection between the individual, groups and society, that is, their corresponding mentality, as circumscribed by the Annales School</w:t>
      </w:r>
      <w:r>
        <w:rPr>
          <w:sz w:val="24"/>
          <w:szCs w:val="24"/>
          <w:vertAlign w:val="superscript"/>
          <w:lang w:val="en-US"/>
        </w:rPr>
        <w:footnoteReference w:id="5"/>
      </w:r>
      <w:r>
        <w:rPr>
          <w:sz w:val="24"/>
          <w:szCs w:val="24"/>
          <w:rtl w:val="0"/>
          <w:lang w:val="en-US"/>
        </w:rPr>
        <w:t>.  Within this frame of reference, places may be defined, for example, as such on the differential basis of intentions, naming, recurrent use or peculiar characters.  Place-names belong to human perception processes, as people get acquainted with places giving them names</w:t>
      </w:r>
      <w:r>
        <w:rPr>
          <w:sz w:val="24"/>
          <w:szCs w:val="24"/>
          <w:vertAlign w:val="superscript"/>
          <w:lang w:val="en-US"/>
        </w:rPr>
        <w:footnoteReference w:id="6"/>
      </w:r>
      <w:r>
        <w:rPr>
          <w:sz w:val="24"/>
          <w:szCs w:val="24"/>
          <w:rtl w:val="0"/>
          <w:lang w:val="en-US"/>
        </w:rPr>
        <w:t>. Mental maps are the products of learning the landscape in the above manner. They are continuously generated by individuals experiencing a landscape. Collectivities share similar mental maps regulated by shared conventions which reside in the aforementioned mentality. Fundamental relational values such linked to orientation may be shared by more than a few collectivities.</w:t>
      </w:r>
    </w:p>
    <w:p>
      <w:pPr>
        <w:pStyle w:val="Normal.0"/>
        <w:jc w:val="both"/>
        <w:rPr>
          <w:sz w:val="24"/>
          <w:szCs w:val="24"/>
        </w:rPr>
      </w:pPr>
    </w:p>
    <w:p>
      <w:pPr>
        <w:pStyle w:val="Normal.0"/>
        <w:jc w:val="both"/>
        <w:rPr>
          <w:i w:val="1"/>
          <w:iCs w:val="1"/>
          <w:sz w:val="24"/>
          <w:szCs w:val="24"/>
        </w:rPr>
      </w:pPr>
    </w:p>
    <w:p>
      <w:pPr>
        <w:pStyle w:val="Normal.0"/>
        <w:jc w:val="both"/>
        <w:rPr>
          <w:b w:val="1"/>
          <w:bCs w:val="1"/>
          <w:i w:val="1"/>
          <w:iCs w:val="1"/>
          <w:sz w:val="24"/>
          <w:szCs w:val="24"/>
        </w:rPr>
      </w:pPr>
      <w:r>
        <w:rPr>
          <w:b w:val="1"/>
          <w:bCs w:val="1"/>
          <w:i w:val="1"/>
          <w:iCs w:val="1"/>
          <w:sz w:val="24"/>
          <w:szCs w:val="24"/>
          <w:rtl w:val="0"/>
          <w:lang w:val="en-US"/>
        </w:rPr>
        <w:t>The Poletae records and the Lavrion Landscape</w:t>
      </w:r>
    </w:p>
    <w:p>
      <w:pPr>
        <w:pStyle w:val="Normal.0"/>
        <w:jc w:val="both"/>
        <w:rPr>
          <w:i w:val="1"/>
          <w:iCs w:val="1"/>
          <w:sz w:val="24"/>
          <w:szCs w:val="24"/>
        </w:rPr>
      </w:pPr>
    </w:p>
    <w:p>
      <w:pPr>
        <w:pStyle w:val="Normal.0"/>
        <w:jc w:val="both"/>
        <w:rPr>
          <w:i w:val="1"/>
          <w:iCs w:val="1"/>
          <w:sz w:val="24"/>
          <w:szCs w:val="24"/>
        </w:rPr>
      </w:pPr>
      <w:r>
        <w:rPr>
          <w:i w:val="1"/>
          <w:iCs w:val="1"/>
          <w:sz w:val="24"/>
          <w:szCs w:val="24"/>
          <w:rtl w:val="0"/>
          <w:lang w:val="en-US"/>
        </w:rPr>
        <w:t>The inscriptions</w:t>
      </w:r>
    </w:p>
    <w:p>
      <w:pPr>
        <w:pStyle w:val="Normal.0"/>
        <w:jc w:val="both"/>
        <w:rPr>
          <w:sz w:val="24"/>
          <w:szCs w:val="24"/>
        </w:rPr>
      </w:pPr>
      <w:r>
        <w:rPr>
          <w:sz w:val="24"/>
          <w:szCs w:val="24"/>
          <w:rtl w:val="0"/>
          <w:lang w:val="en-US"/>
        </w:rPr>
        <w:t xml:space="preserve">The </w:t>
      </w:r>
      <w:r>
        <w:rPr>
          <w:i w:val="1"/>
          <w:iCs w:val="1"/>
          <w:sz w:val="24"/>
          <w:szCs w:val="24"/>
          <w:rtl w:val="0"/>
          <w:lang w:val="en-US"/>
        </w:rPr>
        <w:t xml:space="preserve">poletae </w:t>
      </w:r>
      <w:r>
        <w:rPr>
          <w:sz w:val="24"/>
          <w:szCs w:val="24"/>
          <w:rtl w:val="0"/>
          <w:lang w:val="en-US"/>
        </w:rPr>
        <w:t>fragmented inscriptions were excavated in the Athenian Agora or nearby and their chronologies all all fall in the period between 367 and 300-295 BC. They are official documents, once erected in the Agora, recording public property contracts; among them (the most prominent, in terms of numbers of record-entries and extent of inscribed text) are the leases of the Lavrion mines</w:t>
      </w:r>
      <w:r>
        <w:rPr>
          <w:sz w:val="24"/>
          <w:szCs w:val="24"/>
          <w:vertAlign w:val="superscript"/>
        </w:rPr>
        <w:footnoteReference w:id="7"/>
      </w:r>
      <w:r>
        <w:rPr>
          <w:sz w:val="24"/>
          <w:szCs w:val="24"/>
          <w:rtl w:val="0"/>
          <w:lang w:val="en-US"/>
        </w:rPr>
        <w:t>.  There is standardisation, by record-entry, in registering this practice of leasing mines to individuals by the Athenian polity (</w:t>
      </w:r>
      <w:r>
        <w:rPr>
          <w:b w:val="1"/>
          <w:bCs w:val="1"/>
          <w:outline w:val="0"/>
          <w:color w:val="ff2600"/>
          <w:sz w:val="24"/>
          <w:szCs w:val="24"/>
          <w:u w:color="ff2600"/>
          <w:rtl w:val="0"/>
          <w:lang w:val="en-US"/>
          <w14:textFill>
            <w14:solidFill>
              <w14:srgbClr w14:val="FF2600"/>
            </w14:solidFill>
          </w14:textFill>
        </w:rPr>
        <w:t>table 1</w:t>
      </w:r>
      <w:r>
        <w:rPr>
          <w:sz w:val="24"/>
          <w:szCs w:val="24"/>
          <w:rtl w:val="0"/>
          <w:lang w:val="en-US"/>
        </w:rPr>
        <w:t>): each entry is structured by the mine</w:t>
      </w:r>
      <w:r>
        <w:rPr>
          <w:sz w:val="24"/>
          <w:szCs w:val="24"/>
          <w:rtl w:val="0"/>
          <w:lang w:val="en-US"/>
        </w:rPr>
        <w:t>’</w:t>
      </w:r>
      <w:r>
        <w:rPr>
          <w:sz w:val="24"/>
          <w:szCs w:val="24"/>
          <w:rtl w:val="0"/>
          <w:lang w:val="en-US"/>
        </w:rPr>
        <w:t>s name (A) and its class</w:t>
      </w:r>
      <w:r>
        <w:rPr>
          <w:sz w:val="24"/>
          <w:szCs w:val="24"/>
          <w:vertAlign w:val="superscript"/>
        </w:rPr>
        <w:footnoteReference w:id="8"/>
      </w:r>
      <w:r>
        <w:rPr>
          <w:sz w:val="24"/>
          <w:szCs w:val="24"/>
          <w:rtl w:val="0"/>
          <w:lang w:val="en-US"/>
        </w:rPr>
        <w:t>, usually the territorial Deme, a typically repeated location description (B, C, D1-4), which is our focus here, the lessee</w:t>
      </w:r>
      <w:r>
        <w:rPr>
          <w:sz w:val="24"/>
          <w:szCs w:val="24"/>
          <w:rtl w:val="0"/>
          <w:lang w:val="en-US"/>
        </w:rPr>
        <w:t>’</w:t>
      </w:r>
      <w:r>
        <w:rPr>
          <w:sz w:val="24"/>
          <w:szCs w:val="24"/>
          <w:rtl w:val="0"/>
          <w:lang w:val="en-US"/>
        </w:rPr>
        <w:t>s name and demotic and the fee payable (E).  In this manner, catalogues of named mines are produced, with their location described by a systematic mode of reference to geomorphological and anthropogenic features bordering them in all four directions (E, W, N, S)</w:t>
      </w:r>
      <w:r>
        <w:rPr>
          <w:outline w:val="0"/>
          <w:color w:val="ff2600"/>
          <w:sz w:val="24"/>
          <w:szCs w:val="24"/>
          <w:u w:color="ff2600"/>
          <w:rtl w:val="0"/>
          <w:lang w:val="en-US"/>
          <w14:textFill>
            <w14:solidFill>
              <w14:srgbClr w14:val="FF2600"/>
            </w14:solidFill>
          </w14:textFill>
        </w:rPr>
        <w:t>.</w:t>
      </w:r>
      <w:r>
        <w:rPr>
          <w:sz w:val="24"/>
          <w:szCs w:val="24"/>
          <w:rtl w:val="0"/>
          <w:lang w:val="en-US"/>
        </w:rPr>
        <w:t xml:space="preserve"> A series of place-names, physical features and land-tenures or ownerships are mentioned, some of which are recurrent. A few match with available archaeological data or modern landscape features and can be located in modern geographical space with various degrees of precision</w:t>
      </w:r>
      <w:r>
        <w:rPr>
          <w:sz w:val="24"/>
          <w:szCs w:val="24"/>
          <w:vertAlign w:val="superscript"/>
        </w:rPr>
        <w:footnoteReference w:id="9"/>
      </w:r>
      <w:r>
        <w:rPr>
          <w:sz w:val="24"/>
          <w:szCs w:val="24"/>
          <w:rtl w:val="0"/>
          <w:lang w:val="en-US"/>
        </w:rPr>
        <w:t>.</w:t>
      </w:r>
    </w:p>
    <w:p>
      <w:pPr>
        <w:pStyle w:val="Normal.0"/>
        <w:jc w:val="both"/>
        <w:rPr>
          <w:sz w:val="24"/>
          <w:szCs w:val="24"/>
        </w:rPr>
      </w:pPr>
    </w:p>
    <w:p>
      <w:pPr>
        <w:pStyle w:val="Normal.0"/>
        <w:jc w:val="both"/>
        <w:rPr>
          <w:sz w:val="24"/>
          <w:szCs w:val="24"/>
        </w:rPr>
      </w:pPr>
      <w:r>
        <w:rPr>
          <w:sz w:val="24"/>
          <w:szCs w:val="24"/>
          <w14:textOutline w14:w="12700" w14:cap="flat">
            <w14:noFill/>
            <w14:miter w14:lim="400000"/>
          </w14:textOutline>
        </w:rPr>
        <w:drawing xmlns:a="http://schemas.openxmlformats.org/drawingml/2006/main">
          <wp:inline distT="0" distB="0" distL="0" distR="0">
            <wp:extent cx="5755514" cy="3970859"/>
            <wp:effectExtent l="0" t="0" r="0" b="0"/>
            <wp:docPr id="1073741826" name="officeArt object" descr="CAA_GR0021_Fig.1.jpg"/>
            <wp:cNvGraphicFramePr/>
            <a:graphic xmlns:a="http://schemas.openxmlformats.org/drawingml/2006/main">
              <a:graphicData uri="http://schemas.openxmlformats.org/drawingml/2006/picture">
                <pic:pic xmlns:pic="http://schemas.openxmlformats.org/drawingml/2006/picture">
                  <pic:nvPicPr>
                    <pic:cNvPr id="1073741826" name="CAA_GR0021_Fig.1.jpg" descr="CAA_GR0021_Fig.1.jpg"/>
                    <pic:cNvPicPr>
                      <a:picLocks noChangeAspect="1"/>
                    </pic:cNvPicPr>
                  </pic:nvPicPr>
                  <pic:blipFill>
                    <a:blip r:embed="rId6">
                      <a:extLst/>
                    </a:blip>
                    <a:stretch>
                      <a:fillRect/>
                    </a:stretch>
                  </pic:blipFill>
                  <pic:spPr>
                    <a:xfrm>
                      <a:off x="0" y="0"/>
                      <a:ext cx="5755514" cy="3970859"/>
                    </a:xfrm>
                    <a:prstGeom prst="rect">
                      <a:avLst/>
                    </a:prstGeom>
                    <a:ln w="12700" cap="flat">
                      <a:noFill/>
                      <a:miter lim="400000"/>
                    </a:ln>
                    <a:effectLst/>
                  </pic:spPr>
                </pic:pic>
              </a:graphicData>
            </a:graphic>
          </wp:inline>
        </w:drawing>
      </w:r>
    </w:p>
    <w:p>
      <w:pPr>
        <w:pStyle w:val="Normal.0"/>
        <w:jc w:val="both"/>
        <w:rPr>
          <w:sz w:val="24"/>
          <w:szCs w:val="24"/>
        </w:rPr>
      </w:pPr>
      <w:r>
        <w:rPr>
          <w:b w:val="1"/>
          <w:bCs w:val="1"/>
          <w:outline w:val="0"/>
          <w:color w:val="ff0000"/>
          <w:sz w:val="24"/>
          <w:szCs w:val="24"/>
          <w:u w:color="ff0000"/>
          <w:rtl w:val="0"/>
          <w:lang w:val="en-US"/>
          <w14:textFill>
            <w14:solidFill>
              <w14:srgbClr w14:val="FF0000"/>
            </w14:solidFill>
          </w14:textFill>
        </w:rPr>
        <w:t xml:space="preserve">Table </w:t>
      </w:r>
      <w:r>
        <w:rPr>
          <w:b w:val="1"/>
          <w:bCs w:val="1"/>
          <w:outline w:val="0"/>
          <w:color w:val="ff2600"/>
          <w:sz w:val="24"/>
          <w:szCs w:val="24"/>
          <w:u w:color="ff2600"/>
          <w:rtl w:val="0"/>
          <w:lang w:val="en-US"/>
          <w14:textFill>
            <w14:solidFill>
              <w14:srgbClr w14:val="FF2600"/>
            </w14:solidFill>
          </w14:textFill>
        </w:rPr>
        <w:t>1</w:t>
      </w:r>
      <w:r>
        <w:rPr>
          <w:b w:val="1"/>
          <w:bCs w:val="1"/>
          <w:sz w:val="24"/>
          <w:szCs w:val="24"/>
          <w:rtl w:val="0"/>
          <w:lang w:val="en-US"/>
        </w:rPr>
        <w:t xml:space="preserve"> </w:t>
      </w:r>
      <w:r>
        <w:rPr>
          <w:sz w:val="20"/>
          <w:szCs w:val="20"/>
          <w:rtl w:val="0"/>
          <w:lang w:val="en-US"/>
        </w:rPr>
        <w:t xml:space="preserve">An example of the spatial relationships recorded in the </w:t>
      </w:r>
      <w:r>
        <w:rPr>
          <w:i w:val="1"/>
          <w:iCs w:val="1"/>
          <w:sz w:val="20"/>
          <w:szCs w:val="20"/>
          <w:rtl w:val="0"/>
          <w:lang w:val="en-US"/>
        </w:rPr>
        <w:t>poletae</w:t>
      </w:r>
      <w:r>
        <w:rPr>
          <w:sz w:val="20"/>
          <w:szCs w:val="20"/>
          <w:rtl w:val="0"/>
          <w:lang w:val="en-US"/>
        </w:rPr>
        <w:t xml:space="preserve"> record as for the Lavrion area and the 4</w:t>
      </w:r>
      <w:r>
        <w:rPr>
          <w:sz w:val="20"/>
          <w:szCs w:val="20"/>
          <w:vertAlign w:val="superscript"/>
          <w:rtl w:val="0"/>
          <w:lang w:val="en-US"/>
        </w:rPr>
        <w:t>th</w:t>
      </w:r>
      <w:r>
        <w:rPr>
          <w:sz w:val="20"/>
          <w:szCs w:val="20"/>
          <w:rtl w:val="0"/>
          <w:lang w:val="en-US"/>
        </w:rPr>
        <w:t xml:space="preserve"> C BC metallurgical workshops.</w:t>
      </w:r>
      <w:r>
        <w:rPr>
          <w:sz w:val="24"/>
          <w:szCs w:val="24"/>
          <w:rtl w:val="0"/>
          <w:lang w:val="en-US"/>
        </w:rPr>
        <w:t xml:space="preserve">  </w:t>
      </w:r>
      <w:r>
        <w:rPr>
          <w:sz w:val="24"/>
          <w:szCs w:val="24"/>
          <w:rtl w:val="0"/>
          <w:lang w:val="en-US"/>
        </w:rPr>
        <w:t xml:space="preserve">  —</w:t>
      </w:r>
      <w:r>
        <w:rPr>
          <w:sz w:val="24"/>
          <w:szCs w:val="24"/>
          <w:rtl w:val="0"/>
          <w:lang w:val="en-US"/>
        </w:rPr>
        <w:t>-</w:t>
      </w:r>
      <w:r>
        <w:rPr>
          <w:b w:val="1"/>
          <w:bCs w:val="1"/>
          <w:outline w:val="0"/>
          <w:color w:val="ff2600"/>
          <w:sz w:val="24"/>
          <w:szCs w:val="24"/>
          <w:u w:val="single"/>
          <w:rtl w:val="0"/>
          <w:lang w:val="en-US"/>
          <w14:textFill>
            <w14:solidFill>
              <w14:srgbClr w14:val="FF2600"/>
            </w14:solidFill>
          </w14:textFill>
        </w:rPr>
        <w:t xml:space="preserve"> Replace with table 1</w:t>
      </w:r>
      <w:r>
        <w:rPr>
          <w:b w:val="1"/>
          <w:bCs w:val="1"/>
          <w:outline w:val="0"/>
          <w:color w:val="ff2600"/>
          <w:sz w:val="24"/>
          <w:szCs w:val="24"/>
          <w:u w:val="single"/>
          <w:rtl w:val="0"/>
          <w14:textFill>
            <w14:solidFill>
              <w14:srgbClr w14:val="FF2600"/>
            </w14:solidFill>
          </w14:textFill>
        </w:rPr>
        <w:t xml:space="preserve"> </w:t>
      </w:r>
      <w:r>
        <w:rPr>
          <w:b w:val="1"/>
          <w:bCs w:val="1"/>
          <w:outline w:val="0"/>
          <w:color w:val="ff2600"/>
          <w:sz w:val="24"/>
          <w:szCs w:val="24"/>
          <w:u w:val="single"/>
          <w:rtl w:val="0"/>
          <w:lang w:val="en-US"/>
          <w14:textFill>
            <w14:solidFill>
              <w14:srgbClr w14:val="FF2600"/>
            </w14:solidFill>
          </w14:textFill>
        </w:rPr>
        <w:t>ATTACHED TO EMAIL</w:t>
      </w:r>
    </w:p>
    <w:p>
      <w:pPr>
        <w:pStyle w:val="Normal.0"/>
        <w:jc w:val="both"/>
        <w:rPr>
          <w:b w:val="1"/>
          <w:bCs w:val="1"/>
          <w:outline w:val="0"/>
          <w:color w:val="ff0000"/>
          <w:sz w:val="24"/>
          <w:szCs w:val="24"/>
          <w:u w:color="ff0000"/>
          <w14:textFill>
            <w14:solidFill>
              <w14:srgbClr w14:val="FF0000"/>
            </w14:solidFill>
          </w14:textFill>
        </w:rPr>
      </w:pPr>
    </w:p>
    <w:p>
      <w:pPr>
        <w:pStyle w:val="Normal.0"/>
        <w:jc w:val="both"/>
        <w:rPr>
          <w:outline w:val="0"/>
          <w:color w:val="ff0000"/>
          <w:u w:color="ff0000"/>
          <w14:textFill>
            <w14:solidFill>
              <w14:srgbClr w14:val="FF0000"/>
            </w14:solidFill>
          </w14:textFill>
        </w:rPr>
        <w:sectPr>
          <w:type w:val="continuous"/>
          <w:pgSz w:w="11900" w:h="16840" w:orient="portrait"/>
          <w:pgMar w:top="1418" w:right="1418" w:bottom="1418" w:left="1418" w:header="720" w:footer="720"/>
          <w:bidi w:val="0"/>
        </w:sectPr>
      </w:pPr>
      <w:r>
        <w:rPr>
          <w:outline w:val="0"/>
          <w:color w:val="ff0000"/>
          <w:u w:color="ff0000"/>
          <w14:textFill>
            <w14:solidFill>
              <w14:srgbClr w14:val="FF0000"/>
            </w14:solidFill>
          </w14:textFill>
        </w:rPr>
      </w:r>
    </w:p>
    <w:p>
      <w:pPr>
        <w:pStyle w:val="Normal.0"/>
        <w:jc w:val="both"/>
        <w:rPr>
          <w:i w:val="1"/>
          <w:iCs w:val="1"/>
          <w:sz w:val="24"/>
          <w:szCs w:val="24"/>
        </w:rPr>
      </w:pPr>
      <w:r>
        <w:rPr>
          <w:i w:val="1"/>
          <w:iCs w:val="1"/>
          <w:sz w:val="24"/>
          <w:szCs w:val="24"/>
          <w:rtl w:val="0"/>
          <w:lang w:val="en-US"/>
        </w:rPr>
        <w:t>The Lavrion landscape</w:t>
      </w:r>
    </w:p>
    <w:p>
      <w:pPr>
        <w:pStyle w:val="Normal.0"/>
        <w:jc w:val="both"/>
        <w:rPr>
          <w:sz w:val="24"/>
          <w:szCs w:val="24"/>
        </w:rPr>
      </w:pPr>
      <w:r>
        <w:rPr>
          <w:sz w:val="24"/>
          <w:szCs w:val="24"/>
          <w:rtl w:val="0"/>
          <w:lang w:val="en-US"/>
        </w:rPr>
        <w:t>When someone decides to start reading the book of the Lavrion landscape palimpsest, the sensory organ, the most appropriate, is his or her body moving into and within the landscape. The scale in which material remains (mainly of the classical times and of the 19th and 20th century mining companies) unfold, is overwhelming, as is their density, an effect that is multiplied once someone enters the underground world of mining galleries and shafts. In this labyrinth, you need an Ariadne</w:t>
      </w:r>
      <w:r>
        <w:rPr>
          <w:sz w:val="24"/>
          <w:szCs w:val="24"/>
          <w:rtl w:val="0"/>
          <w:lang w:val="en-US"/>
        </w:rPr>
        <w:t>’</w:t>
      </w:r>
      <w:r>
        <w:rPr>
          <w:sz w:val="24"/>
          <w:szCs w:val="24"/>
          <w:rtl w:val="0"/>
          <w:lang w:val="en-US"/>
        </w:rPr>
        <w:t>s thread: a map and landmarks. Among the notional diachronic threads which permeate the Lavrion palimpsest, stitching it to its integrity, the most prominent are geology, ore, metals, metallurgy and the need for guidance into them.</w:t>
      </w:r>
    </w:p>
    <w:p>
      <w:pPr>
        <w:pStyle w:val="Normal.0"/>
        <w:jc w:val="both"/>
        <w:rPr>
          <w:sz w:val="24"/>
          <w:szCs w:val="24"/>
        </w:rPr>
      </w:pPr>
    </w:p>
    <w:p>
      <w:pPr>
        <w:pStyle w:val="Normal.0"/>
        <w:jc w:val="both"/>
        <w:rPr>
          <w:sz w:val="24"/>
          <w:szCs w:val="24"/>
        </w:rPr>
      </w:pPr>
      <w:r>
        <w:rPr>
          <w:sz w:val="24"/>
          <w:szCs w:val="24"/>
          <w:rtl w:val="0"/>
          <w:lang w:val="en-US"/>
        </w:rPr>
        <w:t xml:space="preserve">In the late19th and early 20th centuries the mining and metallurgical companies involved into the exploitation of ancient </w:t>
      </w:r>
      <w:r>
        <w:rPr>
          <w:i w:val="1"/>
          <w:iCs w:val="1"/>
          <w:sz w:val="24"/>
          <w:szCs w:val="24"/>
          <w:rtl w:val="0"/>
          <w:lang w:val="en-US"/>
        </w:rPr>
        <w:t>scoriae</w:t>
      </w:r>
      <w:r>
        <w:rPr>
          <w:sz w:val="24"/>
          <w:szCs w:val="24"/>
          <w:rtl w:val="0"/>
          <w:lang w:val="en-US"/>
        </w:rPr>
        <w:t xml:space="preserve"> (slugs) and other ore and metallurgical by-products, worked meticulously to this direction. Together with their production project, the need for large areas to be conceded by the Greek state, generated maps and landmarks erected on the ground (</w:t>
      </w:r>
      <w:r>
        <w:rPr>
          <w:outline w:val="0"/>
          <w:color w:val="ff2600"/>
          <w:sz w:val="24"/>
          <w:szCs w:val="24"/>
          <w:u w:color="ff2600"/>
          <w:rtl w:val="0"/>
          <w:lang w:val="en-US"/>
          <w14:textFill>
            <w14:solidFill>
              <w14:srgbClr w14:val="FF2600"/>
            </w14:solidFill>
          </w14:textFill>
        </w:rPr>
        <w:t>fig. 1b</w:t>
      </w:r>
      <w:r>
        <w:rPr>
          <w:sz w:val="24"/>
          <w:szCs w:val="24"/>
          <w:rtl w:val="0"/>
          <w:lang w:val="en-US"/>
        </w:rPr>
        <w:t xml:space="preserve">)  </w:t>
      </w:r>
    </w:p>
    <w:p>
      <w:pPr>
        <w:pStyle w:val="Normal.0"/>
        <w:jc w:val="both"/>
        <w:rPr>
          <w:sz w:val="24"/>
          <w:szCs w:val="24"/>
        </w:rPr>
      </w:pPr>
    </w:p>
    <w:p>
      <w:pPr>
        <w:pStyle w:val="Normal.0"/>
        <w:jc w:val="both"/>
        <w:rPr>
          <w:sz w:val="24"/>
          <w:szCs w:val="24"/>
        </w:rPr>
      </w:pPr>
      <w:r>
        <w:rPr>
          <w:outline w:val="0"/>
          <w:color w:val="ff0000"/>
          <w:sz w:val="24"/>
          <w:szCs w:val="24"/>
          <w:u w:color="ff0000"/>
          <w:rtl w:val="0"/>
          <w:lang w:val="en-US"/>
          <w14:textFill>
            <w14:solidFill>
              <w14:srgbClr w14:val="FF0000"/>
            </w14:solidFill>
          </w14:textFill>
        </w:rPr>
        <w:t xml:space="preserve">Fig.1a </w:t>
      </w:r>
      <w:r>
        <w:rPr>
          <w:sz w:val="24"/>
          <w:szCs w:val="24"/>
          <w:rtl w:val="0"/>
          <w:lang w:val="en-US"/>
        </w:rPr>
        <w:t xml:space="preserve">shows a map of of the Lavrion Peninsula recording the distribution of ancient </w:t>
      </w:r>
      <w:r>
        <w:rPr>
          <w:i w:val="1"/>
          <w:iCs w:val="1"/>
          <w:sz w:val="24"/>
          <w:szCs w:val="24"/>
          <w:rtl w:val="0"/>
          <w:lang w:val="en-US"/>
        </w:rPr>
        <w:t>scoriae</w:t>
      </w:r>
      <w:r>
        <w:rPr>
          <w:sz w:val="24"/>
          <w:szCs w:val="24"/>
          <w:rtl w:val="0"/>
          <w:lang w:val="en-US"/>
        </w:rPr>
        <w:t xml:space="preserve"> and tailings. The map was employed during the agile discussions in the Greek Parliament, in 1860s, or in 1880s on the terms and conditions for the ancient mining and metallurgical byproducts (scoriae and tailings) to be conceded to Serpieri and Roux Co. The vertices of this polygon were materialised on the landscape by the build cylindrical features known as the </w:t>
      </w:r>
      <w:r>
        <w:rPr>
          <w:sz w:val="24"/>
          <w:szCs w:val="24"/>
          <w:rtl w:val="0"/>
          <w:lang w:val="en-US"/>
        </w:rPr>
        <w:t>“</w:t>
      </w:r>
      <w:r>
        <w:rPr>
          <w:sz w:val="24"/>
          <w:szCs w:val="24"/>
          <w:rtl w:val="0"/>
          <w:lang w:val="en-US"/>
        </w:rPr>
        <w:t>Serpieri Horoi</w:t>
      </w:r>
      <w:r>
        <w:rPr>
          <w:sz w:val="24"/>
          <w:szCs w:val="24"/>
          <w:rtl w:val="0"/>
          <w:lang w:val="en-US"/>
        </w:rPr>
        <w:t xml:space="preserve">” </w:t>
      </w:r>
      <w:r>
        <w:rPr>
          <w:sz w:val="24"/>
          <w:szCs w:val="24"/>
          <w:rtl w:val="0"/>
          <w:lang w:val="en-US"/>
        </w:rPr>
        <w:t>(</w:t>
      </w:r>
      <w:r>
        <w:rPr>
          <w:outline w:val="0"/>
          <w:color w:val="ff0000"/>
          <w:sz w:val="24"/>
          <w:szCs w:val="24"/>
          <w:u w:color="ff0000"/>
          <w:rtl w:val="0"/>
          <w:lang w:val="en-US"/>
          <w14:textFill>
            <w14:solidFill>
              <w14:srgbClr w14:val="FF0000"/>
            </w14:solidFill>
          </w14:textFill>
        </w:rPr>
        <w:t>fig.1b</w:t>
      </w:r>
      <w:r>
        <w:rPr>
          <w:sz w:val="24"/>
          <w:szCs w:val="24"/>
          <w:rtl w:val="0"/>
          <w:lang w:val="en-US"/>
        </w:rPr>
        <w:t xml:space="preserve">).  </w:t>
      </w:r>
    </w:p>
    <w:p>
      <w:pPr>
        <w:pStyle w:val="Normal.0"/>
        <w:jc w:val="both"/>
        <w:rPr>
          <w:sz w:val="24"/>
          <w:szCs w:val="24"/>
        </w:rPr>
      </w:pPr>
      <w:r>
        <w:rPr>
          <w:sz w:val="24"/>
          <w:szCs w:val="24"/>
          <w:rtl w:val="0"/>
          <w:lang w:val="en-US"/>
        </w:rPr>
        <w:t xml:space="preserve">In an analogous manner, the leasing of the Lavrion mines by the </w:t>
      </w:r>
      <w:r>
        <w:rPr>
          <w:i w:val="1"/>
          <w:iCs w:val="1"/>
          <w:sz w:val="24"/>
          <w:szCs w:val="24"/>
          <w:rtl w:val="0"/>
          <w:lang w:val="en-US"/>
        </w:rPr>
        <w:t>Poletae</w:t>
      </w:r>
      <w:r>
        <w:rPr>
          <w:sz w:val="24"/>
          <w:szCs w:val="24"/>
          <w:rtl w:val="0"/>
          <w:lang w:val="en-US"/>
        </w:rPr>
        <w:t>, demanded their spatial designation by landscape description and land marking</w:t>
      </w:r>
      <w:r>
        <w:rPr>
          <w:sz w:val="24"/>
          <w:szCs w:val="24"/>
          <w:rtl w:val="0"/>
          <w:lang w:val="en-US"/>
        </w:rPr>
        <w:t xml:space="preserve">. </w:t>
      </w:r>
      <w:r>
        <w:rPr>
          <w:outline w:val="0"/>
          <w:color w:val="ff0000"/>
          <w:sz w:val="24"/>
          <w:szCs w:val="24"/>
          <w:u w:color="ff0000"/>
          <w:rtl w:val="0"/>
          <w:lang w:val="en-US"/>
          <w14:textFill>
            <w14:solidFill>
              <w14:srgbClr w14:val="FF0000"/>
            </w14:solidFill>
          </w14:textFill>
        </w:rPr>
        <w:t xml:space="preserve">Fig. 2a and b </w:t>
      </w:r>
      <w:r>
        <w:rPr>
          <w:sz w:val="24"/>
          <w:szCs w:val="24"/>
          <w:rtl w:val="0"/>
          <w:lang w:val="en-US"/>
        </w:rPr>
        <w:t xml:space="preserve">show </w:t>
      </w:r>
      <w:r>
        <w:rPr>
          <w:i w:val="1"/>
          <w:iCs w:val="1"/>
          <w:sz w:val="24"/>
          <w:szCs w:val="24"/>
          <w:rtl w:val="0"/>
          <w:lang w:val="en-US"/>
        </w:rPr>
        <w:t>stelae</w:t>
      </w:r>
      <w:r>
        <w:rPr>
          <w:sz w:val="24"/>
          <w:szCs w:val="24"/>
          <w:rtl w:val="0"/>
          <w:lang w:val="en-US"/>
        </w:rPr>
        <w:t xml:space="preserve"> known also as </w:t>
      </w:r>
      <w:r>
        <w:rPr>
          <w:i w:val="1"/>
          <w:iCs w:val="1"/>
          <w:sz w:val="24"/>
          <w:szCs w:val="24"/>
          <w:rtl w:val="0"/>
          <w:lang w:val="en-US"/>
        </w:rPr>
        <w:t xml:space="preserve">metalla horoi, </w:t>
      </w:r>
      <w:r>
        <w:rPr>
          <w:sz w:val="24"/>
          <w:szCs w:val="24"/>
          <w:rtl w:val="0"/>
          <w:lang w:val="en-US"/>
        </w:rPr>
        <w:t>which were erected close to the mine entrances, recording the name of the mine and the lessee</w:t>
      </w:r>
      <w:r>
        <w:rPr>
          <w:sz w:val="24"/>
          <w:szCs w:val="24"/>
          <w:rtl w:val="0"/>
          <w:lang w:val="en-US"/>
        </w:rPr>
        <w:t>’</w:t>
      </w:r>
      <w:r>
        <w:rPr>
          <w:sz w:val="24"/>
          <w:szCs w:val="24"/>
          <w:rtl w:val="0"/>
          <w:lang w:val="en-US"/>
        </w:rPr>
        <w:t xml:space="preserve">s name as well as the class of the mine. </w:t>
      </w:r>
    </w:p>
    <w:p>
      <w:pPr>
        <w:pStyle w:val="Normal.0"/>
        <w:jc w:val="both"/>
        <w:rPr>
          <w:sz w:val="24"/>
          <w:szCs w:val="24"/>
        </w:rPr>
      </w:pPr>
      <w:r>
        <w:rPr>
          <w:sz w:val="24"/>
          <w:szCs w:val="24"/>
        </w:rPr>
        <w:tab/>
        <w:tab/>
        <w:tab/>
        <w:tab/>
        <w:tab/>
        <w:tab/>
        <w:tab/>
        <w:tab/>
        <w:tab/>
        <w:tab/>
      </w:r>
    </w:p>
    <w:p>
      <w:pPr>
        <w:pStyle w:val="Normal.0"/>
        <w:jc w:val="both"/>
        <w:rPr>
          <w:b w:val="1"/>
          <w:bCs w:val="1"/>
          <w:outline w:val="0"/>
          <w:color w:val="ff0000"/>
          <w:sz w:val="24"/>
          <w:szCs w:val="24"/>
          <w:u w:color="ff0000"/>
          <w14:textFill>
            <w14:solidFill>
              <w14:srgbClr w14:val="FF0000"/>
            </w14:solidFill>
          </w14:textFill>
        </w:rPr>
      </w:pPr>
    </w:p>
    <w:p>
      <w:pPr>
        <w:pStyle w:val="Normal.0"/>
        <w:jc w:val="both"/>
        <w:rPr>
          <w:sz w:val="24"/>
          <w:szCs w:val="24"/>
        </w:rPr>
      </w:pPr>
      <w:r>
        <w:rPr>
          <w:b w:val="1"/>
          <w:bCs w:val="1"/>
          <w:outline w:val="0"/>
          <w:color w:val="ff0000"/>
          <w:sz w:val="24"/>
          <w:szCs w:val="24"/>
          <w:u w:color="ff0000"/>
          <w:rtl w:val="0"/>
          <w:lang w:val="en-US"/>
          <w14:textFill>
            <w14:solidFill>
              <w14:srgbClr w14:val="FF0000"/>
            </w14:solidFill>
          </w14:textFill>
        </w:rPr>
        <w:t>Fig 1</w:t>
      </w:r>
      <w:r>
        <w:rPr>
          <w:sz w:val="24"/>
          <w:szCs w:val="24"/>
          <w:rtl w:val="0"/>
          <w:lang w:val="en-US"/>
        </w:rPr>
        <w:t>:</w:t>
      </w:r>
    </w:p>
    <w:p>
      <w:pPr>
        <w:pStyle w:val="Normal.0"/>
        <w:jc w:val="both"/>
        <w:rPr>
          <w:sz w:val="24"/>
          <w:szCs w:val="24"/>
        </w:rPr>
      </w:pPr>
      <w:r>
        <w:rPr>
          <w:sz w:val="24"/>
          <w:szCs w:val="24"/>
          <w14:textOutline w14:w="12700" w14:cap="flat">
            <w14:noFill/>
            <w14:miter w14:lim="400000"/>
          </w14:textOutline>
        </w:rPr>
        <w:drawing xmlns:a="http://schemas.openxmlformats.org/drawingml/2006/main">
          <wp:inline distT="0" distB="0" distL="0" distR="0">
            <wp:extent cx="5755641" cy="4316730"/>
            <wp:effectExtent l="0" t="0" r="0" b="0"/>
            <wp:docPr id="1073741827" name="officeArt object" descr="Fig.1a.jpg"/>
            <wp:cNvGraphicFramePr/>
            <a:graphic xmlns:a="http://schemas.openxmlformats.org/drawingml/2006/main">
              <a:graphicData uri="http://schemas.openxmlformats.org/drawingml/2006/picture">
                <pic:pic xmlns:pic="http://schemas.openxmlformats.org/drawingml/2006/picture">
                  <pic:nvPicPr>
                    <pic:cNvPr id="1073741827" name="Fig.1a.jpg" descr="Fig.1a.jpg"/>
                    <pic:cNvPicPr>
                      <a:picLocks noChangeAspect="1"/>
                    </pic:cNvPicPr>
                  </pic:nvPicPr>
                  <pic:blipFill>
                    <a:blip r:embed="rId7">
                      <a:extLst/>
                    </a:blip>
                    <a:stretch>
                      <a:fillRect/>
                    </a:stretch>
                  </pic:blipFill>
                  <pic:spPr>
                    <a:xfrm>
                      <a:off x="0" y="0"/>
                      <a:ext cx="5755641" cy="4316730"/>
                    </a:xfrm>
                    <a:prstGeom prst="rect">
                      <a:avLst/>
                    </a:prstGeom>
                    <a:ln w="12700" cap="flat">
                      <a:noFill/>
                      <a:miter lim="400000"/>
                    </a:ln>
                    <a:effectLst/>
                  </pic:spPr>
                </pic:pic>
              </a:graphicData>
            </a:graphic>
          </wp:inline>
        </w:drawing>
      </w:r>
    </w:p>
    <w:p>
      <w:pPr>
        <w:pStyle w:val="Normal.0"/>
        <w:jc w:val="both"/>
        <w:rPr>
          <w:sz w:val="20"/>
          <w:szCs w:val="20"/>
        </w:rPr>
      </w:pPr>
      <w:r>
        <w:rPr>
          <w:b w:val="1"/>
          <w:bCs w:val="1"/>
          <w:sz w:val="20"/>
          <w:szCs w:val="20"/>
          <w:rtl w:val="0"/>
          <w:lang w:val="en-US"/>
        </w:rPr>
        <w:t>1a.</w:t>
      </w:r>
      <w:r>
        <w:rPr>
          <w:sz w:val="20"/>
          <w:szCs w:val="20"/>
          <w:rtl w:val="0"/>
          <w:lang w:val="en-US"/>
        </w:rPr>
        <w:t xml:space="preserve"> Map of the Lavrion Peninsula (second half of the 19th century CE) recording the distribution of ancient scoriae and tailings. Red, green and  brown areas signify large concentrations of these materials. The red polygon outlines the administrative border between two communities.  The yellow polygon marks the area conceded to a private company to exploit ancient residues (source: The Hellenic Parliament Library, Map Collection). </w:t>
      </w:r>
    </w:p>
    <w:p>
      <w:pPr>
        <w:pStyle w:val="Normal.0"/>
        <w:jc w:val="both"/>
        <w:rPr>
          <w:sz w:val="20"/>
          <w:szCs w:val="20"/>
        </w:rPr>
      </w:pPr>
      <w:r>
        <w:rPr>
          <w:sz w:val="20"/>
          <w:szCs w:val="20"/>
          <w14:textOutline w14:w="12700" w14:cap="flat">
            <w14:noFill/>
            <w14:miter w14:lim="400000"/>
          </w14:textOutline>
        </w:rPr>
        <w:drawing xmlns:a="http://schemas.openxmlformats.org/drawingml/2006/main">
          <wp:inline distT="0" distB="0" distL="0" distR="0">
            <wp:extent cx="5755641" cy="4316730"/>
            <wp:effectExtent l="0" t="0" r="0" b="0"/>
            <wp:docPr id="1073741828" name="officeArt object" descr="Fig.1b.jpg"/>
            <wp:cNvGraphicFramePr/>
            <a:graphic xmlns:a="http://schemas.openxmlformats.org/drawingml/2006/main">
              <a:graphicData uri="http://schemas.openxmlformats.org/drawingml/2006/picture">
                <pic:pic xmlns:pic="http://schemas.openxmlformats.org/drawingml/2006/picture">
                  <pic:nvPicPr>
                    <pic:cNvPr id="1073741828" name="Fig.1b.jpg" descr="Fig.1b.jpg"/>
                    <pic:cNvPicPr>
                      <a:picLocks noChangeAspect="1"/>
                    </pic:cNvPicPr>
                  </pic:nvPicPr>
                  <pic:blipFill>
                    <a:blip r:embed="rId8">
                      <a:extLst/>
                    </a:blip>
                    <a:stretch>
                      <a:fillRect/>
                    </a:stretch>
                  </pic:blipFill>
                  <pic:spPr>
                    <a:xfrm>
                      <a:off x="0" y="0"/>
                      <a:ext cx="5755641" cy="4316730"/>
                    </a:xfrm>
                    <a:prstGeom prst="rect">
                      <a:avLst/>
                    </a:prstGeom>
                    <a:ln w="12700" cap="flat">
                      <a:noFill/>
                      <a:miter lim="400000"/>
                    </a:ln>
                    <a:effectLst/>
                  </pic:spPr>
                </pic:pic>
              </a:graphicData>
            </a:graphic>
          </wp:inline>
        </w:drawing>
      </w:r>
    </w:p>
    <w:p>
      <w:pPr>
        <w:pStyle w:val="Normal.0"/>
        <w:jc w:val="both"/>
        <w:rPr>
          <w:sz w:val="20"/>
          <w:szCs w:val="20"/>
        </w:rPr>
      </w:pPr>
      <w:r>
        <w:rPr>
          <w:b w:val="1"/>
          <w:bCs w:val="1"/>
          <w:sz w:val="20"/>
          <w:szCs w:val="20"/>
          <w:rtl w:val="0"/>
          <w:lang w:val="en-US"/>
        </w:rPr>
        <w:t>1b</w:t>
      </w:r>
      <w:r>
        <w:rPr>
          <w:sz w:val="20"/>
          <w:szCs w:val="20"/>
          <w:rtl w:val="0"/>
          <w:lang w:val="en-US"/>
        </w:rPr>
        <w:t xml:space="preserve">. One of the build cylindrical features known as the </w:t>
      </w:r>
      <w:r>
        <w:rPr>
          <w:sz w:val="20"/>
          <w:szCs w:val="20"/>
          <w:rtl w:val="0"/>
          <w:lang w:val="en-US"/>
        </w:rPr>
        <w:t>“</w:t>
      </w:r>
      <w:r>
        <w:rPr>
          <w:sz w:val="20"/>
          <w:szCs w:val="20"/>
          <w:rtl w:val="0"/>
          <w:lang w:val="en-US"/>
        </w:rPr>
        <w:t>Serpieri Horoi</w:t>
      </w:r>
      <w:r>
        <w:rPr>
          <w:sz w:val="20"/>
          <w:szCs w:val="20"/>
          <w:rtl w:val="0"/>
          <w:lang w:val="en-US"/>
        </w:rPr>
        <w:t>”</w:t>
      </w:r>
      <w:r>
        <w:rPr>
          <w:sz w:val="20"/>
          <w:szCs w:val="20"/>
          <w:rtl w:val="0"/>
          <w:lang w:val="en-US"/>
        </w:rPr>
        <w:t>.</w:t>
      </w:r>
    </w:p>
    <w:p>
      <w:pPr>
        <w:pStyle w:val="Normal.0"/>
        <w:jc w:val="both"/>
        <w:rPr>
          <w:sz w:val="24"/>
          <w:szCs w:val="24"/>
        </w:rPr>
      </w:pPr>
    </w:p>
    <w:p>
      <w:pPr>
        <w:pStyle w:val="Normal.0"/>
        <w:jc w:val="both"/>
        <w:rPr>
          <w:b w:val="1"/>
          <w:bCs w:val="1"/>
          <w:outline w:val="0"/>
          <w:color w:val="ff0000"/>
          <w:sz w:val="24"/>
          <w:szCs w:val="24"/>
          <w:u w:color="ff0000"/>
          <w14:textFill>
            <w14:solidFill>
              <w14:srgbClr w14:val="FF0000"/>
            </w14:solidFill>
          </w14:textFill>
        </w:rPr>
      </w:pPr>
      <w:r>
        <w:rPr>
          <w:b w:val="1"/>
          <w:bCs w:val="1"/>
          <w:outline w:val="0"/>
          <w:color w:val="ff0000"/>
          <w:sz w:val="24"/>
          <w:szCs w:val="24"/>
          <w:u w:color="ff0000"/>
          <w:rtl w:val="0"/>
          <w:lang w:val="en-US"/>
          <w14:textFill>
            <w14:solidFill>
              <w14:srgbClr w14:val="FF0000"/>
            </w14:solidFill>
          </w14:textFill>
        </w:rPr>
        <w:t>Fig. 2</w:t>
      </w:r>
    </w:p>
    <w:p>
      <w:pPr>
        <w:pStyle w:val="Normal.0"/>
        <w:jc w:val="both"/>
        <w:rPr>
          <w:b w:val="1"/>
          <w:bCs w:val="1"/>
          <w:outline w:val="0"/>
          <w:color w:val="ff0000"/>
          <w:sz w:val="24"/>
          <w:szCs w:val="24"/>
          <w:u w:color="ff0000"/>
          <w14:textFill>
            <w14:solidFill>
              <w14:srgbClr w14:val="FF0000"/>
            </w14:solidFill>
          </w14:textFill>
        </w:rPr>
      </w:pPr>
      <w:r>
        <w:rPr>
          <w:b w:val="1"/>
          <w:bCs w:val="1"/>
          <w:outline w:val="0"/>
          <w:color w:val="ff0000"/>
          <w:sz w:val="24"/>
          <w:szCs w:val="24"/>
          <w:u w:color="ff0000"/>
          <w14:textOutline w14:w="12700" w14:cap="flat">
            <w14:noFill/>
            <w14:miter w14:lim="400000"/>
          </w14:textOutline>
          <w14:textFill>
            <w14:solidFill>
              <w14:srgbClr w14:val="FF0000"/>
            </w14:solidFill>
          </w14:textFill>
        </w:rPr>
        <w:drawing xmlns:a="http://schemas.openxmlformats.org/drawingml/2006/main">
          <wp:inline distT="0" distB="0" distL="0" distR="0">
            <wp:extent cx="2148840" cy="5093209"/>
            <wp:effectExtent l="0" t="0" r="0" b="0"/>
            <wp:docPr id="1073741829" name="officeArt object" descr="Fig.2a.jpg"/>
            <wp:cNvGraphicFramePr/>
            <a:graphic xmlns:a="http://schemas.openxmlformats.org/drawingml/2006/main">
              <a:graphicData uri="http://schemas.openxmlformats.org/drawingml/2006/picture">
                <pic:pic xmlns:pic="http://schemas.openxmlformats.org/drawingml/2006/picture">
                  <pic:nvPicPr>
                    <pic:cNvPr id="1073741829" name="Fig.2a.jpg" descr="Fig.2a.jpg"/>
                    <pic:cNvPicPr>
                      <a:picLocks noChangeAspect="1"/>
                    </pic:cNvPicPr>
                  </pic:nvPicPr>
                  <pic:blipFill>
                    <a:blip r:embed="rId9">
                      <a:extLst/>
                    </a:blip>
                    <a:stretch>
                      <a:fillRect/>
                    </a:stretch>
                  </pic:blipFill>
                  <pic:spPr>
                    <a:xfrm>
                      <a:off x="0" y="0"/>
                      <a:ext cx="2148840" cy="5093209"/>
                    </a:xfrm>
                    <a:prstGeom prst="rect">
                      <a:avLst/>
                    </a:prstGeom>
                    <a:ln w="12700" cap="flat">
                      <a:noFill/>
                      <a:miter lim="400000"/>
                    </a:ln>
                    <a:effectLst/>
                  </pic:spPr>
                </pic:pic>
              </a:graphicData>
            </a:graphic>
          </wp:inline>
        </w:drawing>
      </w:r>
    </w:p>
    <w:p>
      <w:pPr>
        <w:pStyle w:val="Normal.0"/>
        <w:jc w:val="both"/>
        <w:rPr>
          <w:i w:val="1"/>
          <w:iCs w:val="1"/>
          <w:sz w:val="20"/>
          <w:szCs w:val="20"/>
        </w:rPr>
      </w:pPr>
      <w:r>
        <w:rPr>
          <w:b w:val="1"/>
          <w:bCs w:val="1"/>
          <w:sz w:val="24"/>
          <w:szCs w:val="24"/>
          <w:rtl w:val="0"/>
          <w:lang w:val="en-US"/>
        </w:rPr>
        <w:t>2a</w:t>
      </w:r>
      <w:r>
        <w:rPr>
          <w:i w:val="1"/>
          <w:iCs w:val="1"/>
          <w:sz w:val="24"/>
          <w:szCs w:val="24"/>
          <w:rtl w:val="0"/>
          <w:lang w:val="en-US"/>
        </w:rPr>
        <w:t xml:space="preserve">  </w:t>
      </w:r>
      <w:r>
        <w:rPr>
          <w:sz w:val="20"/>
          <w:szCs w:val="20"/>
          <w:rtl w:val="0"/>
          <w:lang w:val="en-US"/>
        </w:rPr>
        <w:t xml:space="preserve">A stele inscription of the </w:t>
      </w:r>
      <w:r>
        <w:rPr>
          <w:sz w:val="20"/>
          <w:szCs w:val="20"/>
          <w:rtl w:val="0"/>
          <w:lang w:val="en-US"/>
        </w:rPr>
        <w:t>“</w:t>
      </w:r>
      <w:r>
        <w:rPr>
          <w:sz w:val="20"/>
          <w:szCs w:val="20"/>
          <w:rtl w:val="0"/>
          <w:lang w:val="en-US"/>
        </w:rPr>
        <w:t>dhelotikai</w:t>
      </w:r>
      <w:r>
        <w:rPr>
          <w:sz w:val="20"/>
          <w:szCs w:val="20"/>
          <w:rtl w:val="0"/>
          <w:lang w:val="en-US"/>
        </w:rPr>
        <w:t xml:space="preserve">” </w:t>
      </w:r>
      <w:r>
        <w:rPr>
          <w:sz w:val="20"/>
          <w:szCs w:val="20"/>
          <w:rtl w:val="0"/>
          <w:lang w:val="en-US"/>
        </w:rPr>
        <w:t>class (</w:t>
      </w:r>
      <w:r>
        <w:rPr>
          <w:sz w:val="20"/>
          <w:szCs w:val="20"/>
          <w:rtl w:val="0"/>
          <w:lang w:val="en-US"/>
        </w:rPr>
        <w:t>επιγραφαί δηλωτικαί μεταλλείων</w:t>
      </w:r>
      <w:r>
        <w:rPr>
          <w:sz w:val="20"/>
          <w:szCs w:val="20"/>
          <w:rtl w:val="0"/>
          <w:lang w:val="en-US"/>
        </w:rPr>
        <w:t xml:space="preserve">, Kakavogiannis 2005, 39-86). Such </w:t>
      </w:r>
      <w:r>
        <w:rPr>
          <w:i w:val="1"/>
          <w:iCs w:val="1"/>
          <w:sz w:val="20"/>
          <w:szCs w:val="20"/>
          <w:rtl w:val="0"/>
          <w:lang w:val="en-US"/>
        </w:rPr>
        <w:t>stelae</w:t>
      </w:r>
      <w:r>
        <w:rPr>
          <w:sz w:val="20"/>
          <w:szCs w:val="20"/>
          <w:rtl w:val="0"/>
          <w:lang w:val="en-US"/>
        </w:rPr>
        <w:t xml:space="preserve"> were known as </w:t>
      </w:r>
      <w:r>
        <w:rPr>
          <w:i w:val="1"/>
          <w:iCs w:val="1"/>
          <w:sz w:val="20"/>
          <w:szCs w:val="20"/>
          <w:rtl w:val="0"/>
          <w:lang w:val="en-US"/>
        </w:rPr>
        <w:t xml:space="preserve">metalla horoi. </w:t>
      </w:r>
    </w:p>
    <w:p>
      <w:pPr>
        <w:pStyle w:val="Normal.0"/>
        <w:jc w:val="both"/>
        <w:rPr>
          <w:i w:val="1"/>
          <w:iCs w:val="1"/>
          <w:sz w:val="20"/>
          <w:szCs w:val="20"/>
        </w:rPr>
      </w:pPr>
      <w:r>
        <w:rPr>
          <w:i w:val="1"/>
          <w:iCs w:val="1"/>
          <w:sz w:val="20"/>
          <w:szCs w:val="20"/>
          <w14:textOutline w14:w="12700" w14:cap="flat">
            <w14:noFill/>
            <w14:miter w14:lim="400000"/>
          </w14:textOutline>
        </w:rPr>
        <w:drawing xmlns:a="http://schemas.openxmlformats.org/drawingml/2006/main">
          <wp:inline distT="0" distB="0" distL="0" distR="0">
            <wp:extent cx="5755641" cy="4316730"/>
            <wp:effectExtent l="0" t="0" r="0" b="0"/>
            <wp:docPr id="1073741830" name="officeArt object" descr="Fig.2b.jpg"/>
            <wp:cNvGraphicFramePr/>
            <a:graphic xmlns:a="http://schemas.openxmlformats.org/drawingml/2006/main">
              <a:graphicData uri="http://schemas.openxmlformats.org/drawingml/2006/picture">
                <pic:pic xmlns:pic="http://schemas.openxmlformats.org/drawingml/2006/picture">
                  <pic:nvPicPr>
                    <pic:cNvPr id="1073741830" name="Fig.2b.jpg" descr="Fig.2b.jpg"/>
                    <pic:cNvPicPr>
                      <a:picLocks noChangeAspect="1"/>
                    </pic:cNvPicPr>
                  </pic:nvPicPr>
                  <pic:blipFill>
                    <a:blip r:embed="rId10">
                      <a:extLst/>
                    </a:blip>
                    <a:stretch>
                      <a:fillRect/>
                    </a:stretch>
                  </pic:blipFill>
                  <pic:spPr>
                    <a:xfrm>
                      <a:off x="0" y="0"/>
                      <a:ext cx="5755641" cy="4316730"/>
                    </a:xfrm>
                    <a:prstGeom prst="rect">
                      <a:avLst/>
                    </a:prstGeom>
                    <a:ln w="12700" cap="flat">
                      <a:noFill/>
                      <a:miter lim="400000"/>
                    </a:ln>
                    <a:effectLst/>
                  </pic:spPr>
                </pic:pic>
              </a:graphicData>
            </a:graphic>
          </wp:inline>
        </w:drawing>
      </w:r>
    </w:p>
    <w:p>
      <w:pPr>
        <w:pStyle w:val="Normal.0"/>
        <w:jc w:val="both"/>
        <w:rPr>
          <w:sz w:val="20"/>
          <w:szCs w:val="20"/>
        </w:rPr>
      </w:pPr>
      <w:r>
        <w:rPr>
          <w:b w:val="1"/>
          <w:bCs w:val="1"/>
          <w:sz w:val="24"/>
          <w:szCs w:val="24"/>
          <w:rtl w:val="0"/>
          <w:lang w:val="en-US"/>
        </w:rPr>
        <w:t>2b</w:t>
      </w:r>
      <w:r>
        <w:rPr>
          <w:sz w:val="24"/>
          <w:szCs w:val="24"/>
          <w:rtl w:val="0"/>
          <w:lang w:val="en-US"/>
        </w:rPr>
        <w:t xml:space="preserve"> </w:t>
      </w:r>
      <w:r>
        <w:rPr>
          <w:sz w:val="20"/>
          <w:szCs w:val="20"/>
          <w:rtl w:val="0"/>
          <w:lang w:val="en-US"/>
        </w:rPr>
        <w:t xml:space="preserve">A stone base of a stele </w:t>
      </w:r>
      <w:r>
        <w:rPr>
          <w:i w:val="1"/>
          <w:iCs w:val="1"/>
          <w:sz w:val="20"/>
          <w:szCs w:val="20"/>
          <w:rtl w:val="0"/>
          <w:lang w:val="en-US"/>
        </w:rPr>
        <w:t>in situ</w:t>
      </w:r>
      <w:r>
        <w:rPr>
          <w:sz w:val="20"/>
          <w:szCs w:val="20"/>
          <w:rtl w:val="0"/>
          <w:lang w:val="en-US"/>
        </w:rPr>
        <w:t>, by the entrance of a mine</w:t>
      </w:r>
      <w:r>
        <w:rPr>
          <w:sz w:val="20"/>
          <w:szCs w:val="20"/>
          <w:vertAlign w:val="superscript"/>
        </w:rPr>
        <w:footnoteReference w:id="10"/>
      </w:r>
      <w:r>
        <w:rPr>
          <w:sz w:val="20"/>
          <w:szCs w:val="20"/>
          <w:rtl w:val="0"/>
          <w:lang w:val="en-US"/>
        </w:rPr>
        <w:t>. In the specific example:</w:t>
      </w:r>
    </w:p>
    <w:p>
      <w:pPr>
        <w:pStyle w:val="Normal.0"/>
        <w:jc w:val="both"/>
        <w:rPr>
          <w:sz w:val="20"/>
          <w:szCs w:val="20"/>
        </w:rPr>
      </w:pPr>
      <w:r>
        <w:rPr>
          <w:sz w:val="20"/>
          <w:szCs w:val="20"/>
          <w:rtl w:val="0"/>
          <w:lang w:val="en-US"/>
        </w:rPr>
        <w:t>Αρτεμισ</w:t>
      </w:r>
      <w:r>
        <w:rPr>
          <w:sz w:val="20"/>
          <w:szCs w:val="20"/>
          <w:rtl w:val="0"/>
          <w:lang w:val="en-US"/>
        </w:rPr>
        <w:t>[</w:t>
      </w:r>
      <w:r>
        <w:rPr>
          <w:sz w:val="20"/>
          <w:szCs w:val="20"/>
          <w:rtl w:val="0"/>
          <w:lang w:val="en-US"/>
        </w:rPr>
        <w:t>ι</w:t>
      </w:r>
      <w:r>
        <w:rPr>
          <w:sz w:val="20"/>
          <w:szCs w:val="20"/>
          <w:rtl w:val="0"/>
          <w:lang w:val="en-US"/>
        </w:rPr>
        <w:t>]-</w:t>
      </w:r>
    </w:p>
    <w:p>
      <w:pPr>
        <w:pStyle w:val="Normal.0"/>
        <w:jc w:val="both"/>
        <w:rPr>
          <w:sz w:val="20"/>
          <w:szCs w:val="20"/>
        </w:rPr>
      </w:pPr>
      <w:r>
        <w:rPr>
          <w:sz w:val="20"/>
          <w:szCs w:val="20"/>
          <w:rtl w:val="0"/>
          <w:lang w:val="en-US"/>
        </w:rPr>
        <w:t>Ακόν</w:t>
      </w:r>
    </w:p>
    <w:p>
      <w:pPr>
        <w:pStyle w:val="Normal.0"/>
        <w:jc w:val="both"/>
        <w:rPr>
          <w:sz w:val="20"/>
          <w:szCs w:val="20"/>
        </w:rPr>
      </w:pPr>
      <w:r>
        <w:rPr>
          <w:sz w:val="20"/>
          <w:szCs w:val="20"/>
          <w:rtl w:val="0"/>
          <w:lang w:val="en-US"/>
        </w:rPr>
        <w:t>Θυμοχ</w:t>
      </w:r>
      <w:r>
        <w:rPr>
          <w:sz w:val="20"/>
          <w:szCs w:val="20"/>
          <w:rtl w:val="0"/>
          <w:lang w:val="en-US"/>
        </w:rPr>
        <w:t>[</w:t>
      </w:r>
      <w:r>
        <w:rPr>
          <w:sz w:val="20"/>
          <w:szCs w:val="20"/>
          <w:rtl w:val="0"/>
          <w:lang w:val="en-US"/>
        </w:rPr>
        <w:t>ά</w:t>
      </w:r>
      <w:r>
        <w:rPr>
          <w:sz w:val="20"/>
          <w:szCs w:val="20"/>
          <w:rtl w:val="0"/>
          <w:lang w:val="en-US"/>
        </w:rPr>
        <w:t>]</w:t>
      </w:r>
    </w:p>
    <w:p>
      <w:pPr>
        <w:pStyle w:val="Normal.0"/>
        <w:jc w:val="both"/>
        <w:rPr>
          <w:sz w:val="20"/>
          <w:szCs w:val="20"/>
        </w:rPr>
      </w:pPr>
      <w:r>
        <w:rPr>
          <w:sz w:val="20"/>
          <w:szCs w:val="20"/>
          <w:rtl w:val="0"/>
          <w:lang w:val="en-US"/>
        </w:rPr>
        <w:t>ρης κα</w:t>
      </w:r>
      <w:r>
        <w:rPr>
          <w:sz w:val="20"/>
          <w:szCs w:val="20"/>
          <w:rtl w:val="0"/>
          <w:lang w:val="en-US"/>
        </w:rPr>
        <w:t>-</w:t>
      </w:r>
    </w:p>
    <w:p>
      <w:pPr>
        <w:pStyle w:val="Normal.0"/>
        <w:jc w:val="both"/>
        <w:rPr>
          <w:sz w:val="20"/>
          <w:szCs w:val="20"/>
        </w:rPr>
      </w:pPr>
      <w:r>
        <w:rPr>
          <w:sz w:val="20"/>
          <w:szCs w:val="20"/>
          <w:rtl w:val="0"/>
          <w:lang w:val="en-US"/>
        </w:rPr>
        <w:t>τέλαβ</w:t>
      </w:r>
      <w:r>
        <w:rPr>
          <w:sz w:val="20"/>
          <w:szCs w:val="20"/>
          <w:rtl w:val="0"/>
          <w:lang w:val="en-US"/>
        </w:rPr>
        <w:t>[</w:t>
      </w:r>
      <w:r>
        <w:rPr>
          <w:sz w:val="20"/>
          <w:szCs w:val="20"/>
          <w:rtl w:val="0"/>
          <w:lang w:val="en-US"/>
        </w:rPr>
        <w:t>ε</w:t>
      </w:r>
      <w:r>
        <w:rPr>
          <w:sz w:val="20"/>
          <w:szCs w:val="20"/>
          <w:rtl w:val="0"/>
          <w:lang w:val="en-US"/>
        </w:rPr>
        <w:t>]</w:t>
      </w:r>
    </w:p>
    <w:p>
      <w:pPr>
        <w:pStyle w:val="Normal.0"/>
        <w:jc w:val="both"/>
        <w:rPr>
          <w:sz w:val="20"/>
          <w:szCs w:val="20"/>
        </w:rPr>
      </w:pPr>
      <w:r>
        <w:rPr>
          <w:sz w:val="20"/>
          <w:szCs w:val="20"/>
          <w:rtl w:val="0"/>
          <w:lang w:val="en-US"/>
        </w:rPr>
        <w:t>Καινο</w:t>
      </w:r>
      <w:r>
        <w:rPr>
          <w:sz w:val="20"/>
          <w:szCs w:val="20"/>
          <w:rtl w:val="0"/>
          <w:lang w:val="en-US"/>
        </w:rPr>
        <w:t>-</w:t>
      </w:r>
    </w:p>
    <w:p>
      <w:pPr>
        <w:pStyle w:val="Normal.0"/>
        <w:jc w:val="both"/>
        <w:rPr>
          <w:sz w:val="20"/>
          <w:szCs w:val="20"/>
        </w:rPr>
      </w:pPr>
      <w:r>
        <w:rPr>
          <w:sz w:val="20"/>
          <w:szCs w:val="20"/>
          <w:rtl w:val="0"/>
          <w:lang w:val="en-US"/>
        </w:rPr>
        <w:t>τόμε</w:t>
      </w:r>
      <w:r>
        <w:rPr>
          <w:sz w:val="20"/>
          <w:szCs w:val="20"/>
          <w:rtl w:val="0"/>
          <w:lang w:val="en-US"/>
        </w:rPr>
        <w:t>[</w:t>
      </w:r>
      <w:r>
        <w:rPr>
          <w:sz w:val="20"/>
          <w:szCs w:val="20"/>
          <w:rtl w:val="0"/>
          <w:lang w:val="en-US"/>
        </w:rPr>
        <w:t>ιαν</w:t>
      </w:r>
      <w:r>
        <w:rPr>
          <w:sz w:val="20"/>
          <w:szCs w:val="20"/>
          <w:rtl w:val="0"/>
          <w:lang w:val="en-US"/>
        </w:rPr>
        <w:t>]</w:t>
      </w:r>
    </w:p>
    <w:p>
      <w:pPr>
        <w:pStyle w:val="Norm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564"/>
        </w:tabs>
        <w:jc w:val="both"/>
        <w:rPr>
          <w:sz w:val="20"/>
          <w:szCs w:val="20"/>
        </w:rPr>
      </w:pPr>
      <w:r>
        <w:rPr>
          <w:sz w:val="20"/>
          <w:szCs w:val="20"/>
          <w:rtl w:val="0"/>
        </w:rPr>
        <w:tab/>
        <w:t>vacat</w:t>
      </w:r>
    </w:p>
    <w:p>
      <w:pPr>
        <w:pStyle w:val="Normal.0"/>
        <w:jc w:val="both"/>
        <w:rPr>
          <w:i w:val="1"/>
          <w:iCs w:val="1"/>
          <w:sz w:val="20"/>
          <w:szCs w:val="20"/>
        </w:rPr>
      </w:pPr>
      <w:r>
        <w:rPr>
          <w:sz w:val="20"/>
          <w:szCs w:val="20"/>
          <w:rtl w:val="0"/>
          <w:lang w:val="en-US"/>
        </w:rPr>
        <w:t xml:space="preserve">(Transl.: </w:t>
      </w:r>
      <w:r>
        <w:rPr>
          <w:i w:val="1"/>
          <w:iCs w:val="1"/>
          <w:sz w:val="20"/>
          <w:szCs w:val="20"/>
          <w:rtl w:val="0"/>
          <w:lang w:val="en-US"/>
        </w:rPr>
        <w:t>Thymoch</w:t>
      </w:r>
      <w:r>
        <w:rPr>
          <w:i w:val="1"/>
          <w:iCs w:val="1"/>
          <w:sz w:val="20"/>
          <w:szCs w:val="20"/>
          <w:rtl w:val="0"/>
          <w:lang w:val="en-US"/>
        </w:rPr>
        <w:t>á</w:t>
      </w:r>
      <w:r>
        <w:rPr>
          <w:i w:val="1"/>
          <w:iCs w:val="1"/>
          <w:sz w:val="20"/>
          <w:szCs w:val="20"/>
          <w:rtl w:val="0"/>
          <w:lang w:val="en-US"/>
        </w:rPr>
        <w:t>r</w:t>
      </w:r>
      <w:r>
        <w:rPr>
          <w:i w:val="1"/>
          <w:iCs w:val="1"/>
          <w:sz w:val="20"/>
          <w:szCs w:val="20"/>
          <w:rtl w:val="0"/>
          <w:lang w:val="en-US"/>
        </w:rPr>
        <w:t>ê</w:t>
      </w:r>
      <w:r>
        <w:rPr>
          <w:i w:val="1"/>
          <w:iCs w:val="1"/>
          <w:sz w:val="20"/>
          <w:szCs w:val="20"/>
          <w:rtl w:val="0"/>
          <w:lang w:val="en-US"/>
        </w:rPr>
        <w:t>s took over the Artemissiakon mine, which is a new venture)</w:t>
      </w:r>
    </w:p>
    <w:p>
      <w:pPr>
        <w:pStyle w:val="Normal.0"/>
        <w:jc w:val="both"/>
        <w:rPr>
          <w:sz w:val="24"/>
          <w:szCs w:val="24"/>
        </w:rPr>
      </w:pPr>
    </w:p>
    <w:p>
      <w:pPr>
        <w:pStyle w:val="Normal.0"/>
        <w:jc w:val="both"/>
        <w:rPr>
          <w:sz w:val="24"/>
          <w:szCs w:val="24"/>
        </w:rPr>
      </w:pPr>
    </w:p>
    <w:p>
      <w:pPr>
        <w:pStyle w:val="Normal.0"/>
        <w:jc w:val="both"/>
        <w:rPr>
          <w:b w:val="1"/>
          <w:bCs w:val="1"/>
          <w:sz w:val="24"/>
          <w:szCs w:val="24"/>
        </w:rPr>
      </w:pPr>
      <w:r>
        <w:rPr>
          <w:b w:val="1"/>
          <w:bCs w:val="1"/>
          <w:sz w:val="24"/>
          <w:szCs w:val="24"/>
          <w:rtl w:val="0"/>
          <w:lang w:val="en-US"/>
        </w:rPr>
        <w:t>Reading the Lavrion Landscape</w:t>
      </w:r>
    </w:p>
    <w:p>
      <w:pPr>
        <w:pStyle w:val="Normal.0"/>
        <w:jc w:val="both"/>
        <w:rPr>
          <w:b w:val="1"/>
          <w:bCs w:val="1"/>
          <w:sz w:val="24"/>
          <w:szCs w:val="24"/>
        </w:rPr>
      </w:pPr>
    </w:p>
    <w:p>
      <w:pPr>
        <w:pStyle w:val="Normal.0"/>
        <w:jc w:val="both"/>
        <w:rPr>
          <w:sz w:val="24"/>
          <w:szCs w:val="24"/>
        </w:rPr>
      </w:pPr>
      <w:r>
        <w:rPr>
          <w:sz w:val="24"/>
          <w:szCs w:val="24"/>
          <w:rtl w:val="0"/>
          <w:lang w:val="en-US"/>
        </w:rPr>
        <w:t>As Muir</w:t>
      </w:r>
      <w:r>
        <w:rPr>
          <w:sz w:val="24"/>
          <w:szCs w:val="24"/>
          <w:vertAlign w:val="superscript"/>
        </w:rPr>
        <w:footnoteReference w:id="11"/>
      </w:r>
      <w:r>
        <w:rPr>
          <w:sz w:val="24"/>
          <w:szCs w:val="24"/>
          <w:rtl w:val="0"/>
          <w:lang w:val="en-US"/>
        </w:rPr>
        <w:t xml:space="preserve"> points out, </w:t>
      </w:r>
      <w:r>
        <w:rPr>
          <w:sz w:val="24"/>
          <w:szCs w:val="24"/>
          <w:rtl w:val="0"/>
          <w:lang w:val="en-US"/>
        </w:rPr>
        <w:t>«</w:t>
      </w:r>
      <w:r>
        <w:rPr>
          <w:sz w:val="24"/>
          <w:szCs w:val="24"/>
          <w:rtl w:val="0"/>
          <w:lang w:val="en-US"/>
        </w:rPr>
        <w:t>in the course of sensing, the mind simplifies complex environmental reality into an environmental image</w:t>
      </w:r>
      <w:r>
        <w:rPr>
          <w:sz w:val="24"/>
          <w:szCs w:val="24"/>
          <w:rtl w:val="0"/>
          <w:lang w:val="en-US"/>
        </w:rPr>
        <w:t>»</w:t>
      </w:r>
      <w:r>
        <w:rPr>
          <w:sz w:val="24"/>
          <w:szCs w:val="24"/>
          <w:rtl w:val="0"/>
          <w:lang w:val="en-US"/>
        </w:rPr>
        <w:t xml:space="preserve">. In a certain way, the Lavrion inscriptions report a somehow simplified image of the real landscape setting, allowing us to open a window into the shared mental map of the community which produced them:  the scribes, the </w:t>
      </w:r>
      <w:r>
        <w:rPr>
          <w:i w:val="1"/>
          <w:iCs w:val="1"/>
          <w:sz w:val="24"/>
          <w:szCs w:val="24"/>
          <w:rtl w:val="0"/>
          <w:lang w:val="en-US"/>
        </w:rPr>
        <w:t>poletae</w:t>
      </w:r>
      <w:r>
        <w:rPr>
          <w:sz w:val="24"/>
          <w:szCs w:val="24"/>
          <w:rtl w:val="0"/>
          <w:lang w:val="en-US"/>
        </w:rPr>
        <w:t>, the bureaucracy they belonged to, the lessees and eventually the Athenian citizens who would read them in the Agora, shared conventionalities residing in the mentality of the Athenian society.</w:t>
      </w:r>
    </w:p>
    <w:p>
      <w:pPr>
        <w:pStyle w:val="Normal.0"/>
        <w:jc w:val="both"/>
        <w:rPr>
          <w:sz w:val="24"/>
          <w:szCs w:val="24"/>
        </w:rPr>
      </w:pPr>
    </w:p>
    <w:p>
      <w:pPr>
        <w:pStyle w:val="Normal.0"/>
        <w:jc w:val="both"/>
        <w:rPr>
          <w:sz w:val="24"/>
          <w:szCs w:val="24"/>
        </w:rPr>
      </w:pPr>
      <w:r>
        <w:rPr>
          <w:sz w:val="24"/>
          <w:szCs w:val="24"/>
          <w:rtl w:val="0"/>
          <w:lang w:val="en-US"/>
        </w:rPr>
        <w:t xml:space="preserve">The density and scale of the material culture in the area triggers to the reader of the Lavrion landscape (who, at the same time, is a reader of the </w:t>
      </w:r>
      <w:r>
        <w:rPr>
          <w:i w:val="1"/>
          <w:iCs w:val="1"/>
          <w:sz w:val="24"/>
          <w:szCs w:val="24"/>
          <w:rtl w:val="0"/>
          <w:lang w:val="en-US"/>
        </w:rPr>
        <w:t>poletae</w:t>
      </w:r>
      <w:r>
        <w:rPr>
          <w:sz w:val="24"/>
          <w:szCs w:val="24"/>
          <w:rtl w:val="0"/>
          <w:lang w:val="en-US"/>
        </w:rPr>
        <w:t xml:space="preserve"> mine leasing records) a sense of familiarity. </w:t>
      </w:r>
    </w:p>
    <w:p>
      <w:pPr>
        <w:pStyle w:val="Normal.0"/>
        <w:jc w:val="both"/>
        <w:rPr>
          <w:sz w:val="24"/>
          <w:szCs w:val="24"/>
        </w:rPr>
      </w:pPr>
      <w:r>
        <w:rPr>
          <w:sz w:val="24"/>
          <w:szCs w:val="24"/>
          <w:rtl w:val="0"/>
          <w:lang w:val="en-US"/>
        </w:rPr>
        <w:t xml:space="preserve">When you squeeze your body among the ruins of ancient mines and workshops, you get the impression that in the same straightforward manner that you grasp their materiality, by merely stretching your hand, you could identify them by the name of owner or lessee, and identify the landscape you move within with the landscape that emerges from within the </w:t>
      </w:r>
      <w:r>
        <w:rPr>
          <w:i w:val="1"/>
          <w:iCs w:val="1"/>
          <w:sz w:val="24"/>
          <w:szCs w:val="24"/>
          <w:rtl w:val="0"/>
          <w:lang w:val="en-US"/>
        </w:rPr>
        <w:t>poletae</w:t>
      </w:r>
      <w:r>
        <w:rPr>
          <w:sz w:val="24"/>
          <w:szCs w:val="24"/>
          <w:rtl w:val="0"/>
          <w:lang w:val="en-US"/>
        </w:rPr>
        <w:t xml:space="preserve"> inscriptions.</w:t>
      </w:r>
    </w:p>
    <w:p>
      <w:pPr>
        <w:pStyle w:val="Normal.0"/>
        <w:jc w:val="both"/>
        <w:rPr>
          <w:sz w:val="24"/>
          <w:szCs w:val="24"/>
        </w:rPr>
      </w:pPr>
      <w:r>
        <w:rPr>
          <w:sz w:val="24"/>
          <w:szCs w:val="24"/>
          <w:rtl w:val="0"/>
          <w:lang w:val="en-US"/>
        </w:rPr>
        <w:t>Why is this? Because we share with the composers of the inscription texts certain mental map structuring principles</w:t>
      </w:r>
      <w:r>
        <w:rPr>
          <w:sz w:val="24"/>
          <w:szCs w:val="24"/>
          <w:vertAlign w:val="superscript"/>
        </w:rPr>
        <w:footnoteReference w:id="12"/>
      </w:r>
      <w:r>
        <w:rPr>
          <w:sz w:val="24"/>
          <w:szCs w:val="24"/>
          <w:rtl w:val="0"/>
          <w:lang w:val="en-US"/>
        </w:rPr>
        <w:t>: orientation and reference to geomorphological features.</w:t>
      </w:r>
    </w:p>
    <w:p>
      <w:pPr>
        <w:pStyle w:val="Normal.0"/>
        <w:jc w:val="both"/>
        <w:rPr>
          <w:sz w:val="24"/>
          <w:szCs w:val="24"/>
        </w:rPr>
      </w:pPr>
    </w:p>
    <w:p>
      <w:pPr>
        <w:pStyle w:val="Normal.0"/>
        <w:ind w:left="2563" w:hanging="1843"/>
        <w:jc w:val="both"/>
        <w:rPr>
          <w:sz w:val="24"/>
          <w:szCs w:val="24"/>
        </w:rPr>
      </w:pPr>
      <w:r>
        <w:rPr>
          <w:sz w:val="24"/>
          <w:szCs w:val="24"/>
          <w:rtl w:val="0"/>
          <w:lang w:val="en-US"/>
        </w:rPr>
        <w:t xml:space="preserve">ηλίου ανιόντος – </w:t>
      </w:r>
      <w:r>
        <w:rPr>
          <w:sz w:val="24"/>
          <w:szCs w:val="24"/>
          <w:rtl w:val="0"/>
          <w:lang w:val="en-US"/>
        </w:rPr>
        <w:t>[to the side of the] rising sun</w:t>
      </w:r>
    </w:p>
    <w:p>
      <w:pPr>
        <w:pStyle w:val="Normal.0"/>
        <w:ind w:left="2563" w:hanging="1843"/>
        <w:jc w:val="both"/>
        <w:rPr>
          <w:sz w:val="24"/>
          <w:szCs w:val="24"/>
        </w:rPr>
      </w:pPr>
      <w:r>
        <w:rPr>
          <w:sz w:val="24"/>
          <w:szCs w:val="24"/>
          <w:rtl w:val="0"/>
          <w:lang w:val="en-US"/>
        </w:rPr>
        <w:t xml:space="preserve">ηλίου δυομένου </w:t>
      </w:r>
      <w:r>
        <w:rPr>
          <w:sz w:val="24"/>
          <w:szCs w:val="24"/>
          <w:rtl w:val="0"/>
          <w:lang w:val="en-US"/>
        </w:rPr>
        <w:t>[to the side of the] setting sun</w:t>
      </w:r>
    </w:p>
    <w:p>
      <w:pPr>
        <w:pStyle w:val="Normal.0"/>
        <w:ind w:left="720" w:firstLine="0"/>
        <w:jc w:val="both"/>
        <w:rPr>
          <w:sz w:val="24"/>
          <w:szCs w:val="24"/>
        </w:rPr>
      </w:pPr>
      <w:r>
        <w:rPr>
          <w:sz w:val="24"/>
          <w:szCs w:val="24"/>
          <w:rtl w:val="0"/>
          <w:lang w:val="en-US"/>
        </w:rPr>
        <w:t xml:space="preserve">Βορράθεν </w:t>
      </w:r>
      <w:r>
        <w:rPr>
          <w:i w:val="1"/>
          <w:iCs w:val="1"/>
          <w:sz w:val="24"/>
          <w:szCs w:val="24"/>
          <w:rtl w:val="0"/>
          <w:lang w:val="en-US"/>
        </w:rPr>
        <w:t>from</w:t>
      </w:r>
      <w:r>
        <w:rPr>
          <w:sz w:val="24"/>
          <w:szCs w:val="24"/>
          <w:rtl w:val="0"/>
          <w:lang w:val="en-US"/>
        </w:rPr>
        <w:t xml:space="preserve"> the North</w:t>
      </w:r>
    </w:p>
    <w:p>
      <w:pPr>
        <w:pStyle w:val="Normal.0"/>
        <w:ind w:left="720" w:firstLine="0"/>
        <w:jc w:val="both"/>
        <w:rPr>
          <w:sz w:val="24"/>
          <w:szCs w:val="24"/>
        </w:rPr>
      </w:pPr>
      <w:r>
        <w:rPr>
          <w:sz w:val="24"/>
          <w:szCs w:val="24"/>
          <w:rtl w:val="0"/>
          <w:lang w:val="en-US"/>
        </w:rPr>
        <w:t xml:space="preserve">Νότοθεν </w:t>
      </w:r>
      <w:r>
        <w:rPr>
          <w:i w:val="1"/>
          <w:iCs w:val="1"/>
          <w:sz w:val="24"/>
          <w:szCs w:val="24"/>
          <w:rtl w:val="0"/>
          <w:lang w:val="en-US"/>
        </w:rPr>
        <w:t>from</w:t>
      </w:r>
      <w:r>
        <w:rPr>
          <w:sz w:val="24"/>
          <w:szCs w:val="24"/>
          <w:rtl w:val="0"/>
          <w:lang w:val="en-US"/>
        </w:rPr>
        <w:t xml:space="preserve"> the South</w:t>
      </w:r>
    </w:p>
    <w:p>
      <w:pPr>
        <w:pStyle w:val="Normal.0"/>
        <w:jc w:val="right"/>
        <w:rPr>
          <w:sz w:val="24"/>
          <w:szCs w:val="24"/>
        </w:rPr>
      </w:pPr>
      <w:r>
        <w:rPr>
          <w:sz w:val="24"/>
          <w:szCs w:val="24"/>
          <w:rtl w:val="0"/>
          <w:lang w:val="en-US"/>
        </w:rPr>
        <w:t>(</w:t>
      </w:r>
      <w:r>
        <w:rPr>
          <w:i w:val="1"/>
          <w:iCs w:val="1"/>
          <w:sz w:val="24"/>
          <w:szCs w:val="24"/>
          <w:rtl w:val="0"/>
          <w:lang w:val="en-US"/>
        </w:rPr>
        <w:t>four horizon-directions, fig. 2, D1-4</w:t>
      </w:r>
      <w:r>
        <w:rPr>
          <w:sz w:val="24"/>
          <w:szCs w:val="24"/>
          <w:rtl w:val="0"/>
          <w:lang w:val="en-US"/>
        </w:rPr>
        <w:t>)</w:t>
      </w:r>
    </w:p>
    <w:p>
      <w:pPr>
        <w:pStyle w:val="Normal.0"/>
        <w:rPr>
          <w:sz w:val="24"/>
          <w:szCs w:val="24"/>
        </w:rPr>
      </w:pPr>
    </w:p>
    <w:p>
      <w:pPr>
        <w:pStyle w:val="Normal.0"/>
        <w:ind w:left="720" w:firstLine="0"/>
        <w:rPr>
          <w:sz w:val="24"/>
          <w:szCs w:val="24"/>
        </w:rPr>
      </w:pPr>
      <w:r>
        <w:rPr>
          <w:sz w:val="24"/>
          <w:szCs w:val="24"/>
          <w:rtl w:val="0"/>
          <w:lang w:val="en-US"/>
        </w:rPr>
        <w:t xml:space="preserve">Λόφος </w:t>
      </w:r>
      <w:r>
        <w:rPr>
          <w:sz w:val="24"/>
          <w:szCs w:val="24"/>
          <w:rtl w:val="0"/>
          <w:lang w:val="en-US"/>
        </w:rPr>
        <w:t xml:space="preserve">(hill), </w:t>
      </w:r>
      <w:r>
        <w:rPr>
          <w:sz w:val="24"/>
          <w:szCs w:val="24"/>
          <w:rtl w:val="0"/>
          <w:lang w:val="en-US"/>
        </w:rPr>
        <w:t xml:space="preserve">Χαράδρα </w:t>
      </w:r>
      <w:r>
        <w:rPr>
          <w:sz w:val="24"/>
          <w:szCs w:val="24"/>
          <w:rtl w:val="0"/>
          <w:lang w:val="en-US"/>
        </w:rPr>
        <w:t xml:space="preserve">(cliff/gorge), </w:t>
      </w:r>
      <w:r>
        <w:rPr>
          <w:sz w:val="24"/>
          <w:szCs w:val="24"/>
          <w:rtl w:val="0"/>
          <w:lang w:val="en-US"/>
        </w:rPr>
        <w:t xml:space="preserve">Ποταμός </w:t>
      </w:r>
      <w:r>
        <w:rPr>
          <w:sz w:val="24"/>
          <w:szCs w:val="24"/>
          <w:rtl w:val="0"/>
          <w:lang w:val="en-US"/>
        </w:rPr>
        <w:t xml:space="preserve">(river/stream), </w:t>
      </w:r>
      <w:r>
        <w:rPr>
          <w:sz w:val="24"/>
          <w:szCs w:val="24"/>
          <w:rtl w:val="0"/>
          <w:lang w:val="en-US"/>
        </w:rPr>
        <w:t xml:space="preserve">Θάλασσα </w:t>
      </w:r>
      <w:r>
        <w:rPr>
          <w:sz w:val="24"/>
          <w:szCs w:val="24"/>
          <w:rtl w:val="0"/>
          <w:lang w:val="en-US"/>
        </w:rPr>
        <w:t xml:space="preserve">(sea), </w:t>
      </w:r>
      <w:r>
        <w:rPr>
          <w:sz w:val="24"/>
          <w:szCs w:val="24"/>
          <w:rtl w:val="0"/>
          <w:lang w:val="en-US"/>
        </w:rPr>
        <w:t xml:space="preserve">Οδός </w:t>
      </w:r>
      <w:r>
        <w:rPr>
          <w:sz w:val="24"/>
          <w:szCs w:val="24"/>
          <w:rtl w:val="0"/>
          <w:lang w:val="en-US"/>
        </w:rPr>
        <w:t>(road/route).</w:t>
      </w:r>
    </w:p>
    <w:p>
      <w:pPr>
        <w:pStyle w:val="Normal.0"/>
        <w:jc w:val="right"/>
        <w:rPr>
          <w:sz w:val="24"/>
          <w:szCs w:val="24"/>
        </w:rPr>
      </w:pPr>
      <w:r>
        <w:rPr>
          <w:sz w:val="24"/>
          <w:szCs w:val="24"/>
          <w:rtl w:val="0"/>
          <w:lang w:val="en-US"/>
        </w:rPr>
        <w:t>(</w:t>
      </w:r>
      <w:r>
        <w:rPr>
          <w:i w:val="1"/>
          <w:iCs w:val="1"/>
          <w:sz w:val="24"/>
          <w:szCs w:val="24"/>
          <w:rtl w:val="0"/>
          <w:lang w:val="en-US"/>
        </w:rPr>
        <w:t>geomorphological features as landmarks</w:t>
      </w:r>
      <w:r>
        <w:rPr>
          <w:sz w:val="24"/>
          <w:szCs w:val="24"/>
          <w:rtl w:val="0"/>
          <w:lang w:val="en-US"/>
        </w:rPr>
        <w:t>)</w:t>
      </w:r>
    </w:p>
    <w:p>
      <w:pPr>
        <w:pStyle w:val="Normal.0"/>
        <w:rPr>
          <w:sz w:val="24"/>
          <w:szCs w:val="24"/>
        </w:rPr>
      </w:pPr>
    </w:p>
    <w:p>
      <w:pPr>
        <w:pStyle w:val="Normal.0"/>
        <w:jc w:val="both"/>
        <w:rPr>
          <w:sz w:val="24"/>
          <w:szCs w:val="24"/>
        </w:rPr>
      </w:pPr>
      <w:r>
        <w:rPr>
          <w:sz w:val="24"/>
          <w:szCs w:val="24"/>
          <w:rtl w:val="0"/>
          <w:lang w:val="en-US"/>
        </w:rPr>
        <w:t xml:space="preserve">This does not equal that we share also the exact content of the terms used heuristically in implementing orientation and land marking. We could be close, though. And this feeling is augmented once we come across to a context which makes instantly the journey </w:t>
      </w:r>
      <w:r>
        <w:rPr>
          <w:sz w:val="24"/>
          <w:szCs w:val="24"/>
          <w:rtl w:val="0"/>
          <w:lang w:val="en-US"/>
        </w:rPr>
        <w:t xml:space="preserve">από το </w:t>
      </w:r>
      <w:r>
        <w:rPr>
          <w:i w:val="1"/>
          <w:iCs w:val="1"/>
          <w:sz w:val="24"/>
          <w:szCs w:val="24"/>
          <w:rtl w:val="0"/>
          <w:lang w:val="en-US"/>
        </w:rPr>
        <w:t xml:space="preserve">ΣΗΜΕΙΟ </w:t>
      </w:r>
      <w:r>
        <w:rPr>
          <w:sz w:val="24"/>
          <w:szCs w:val="24"/>
          <w:rtl w:val="0"/>
          <w:lang w:val="en-US"/>
        </w:rPr>
        <w:t xml:space="preserve">στο </w:t>
      </w:r>
      <w:r>
        <w:rPr>
          <w:i w:val="1"/>
          <w:iCs w:val="1"/>
          <w:sz w:val="24"/>
          <w:szCs w:val="24"/>
          <w:rtl w:val="0"/>
          <w:lang w:val="en-US"/>
        </w:rPr>
        <w:t>ΤΟΠΙΟ</w:t>
      </w:r>
      <w:r>
        <w:rPr>
          <w:sz w:val="24"/>
          <w:szCs w:val="24"/>
          <w:rtl w:val="0"/>
          <w:lang w:val="en-US"/>
        </w:rPr>
        <w:t xml:space="preserve"> (from a spot to landscape) that is, from the microscale of a rock-surface, all the way through nested scales of reference, to the landscape scale</w:t>
      </w:r>
      <w:r>
        <w:rPr>
          <w:sz w:val="24"/>
          <w:szCs w:val="24"/>
          <w:vertAlign w:val="superscript"/>
        </w:rPr>
        <w:footnoteReference w:id="13"/>
      </w:r>
      <w:r>
        <w:rPr>
          <w:sz w:val="24"/>
          <w:szCs w:val="24"/>
          <w:rtl w:val="0"/>
          <w:lang w:val="en-US"/>
        </w:rPr>
        <w:t xml:space="preserve">.   </w:t>
      </w:r>
    </w:p>
    <w:p>
      <w:pPr>
        <w:pStyle w:val="Normal.0"/>
        <w:jc w:val="both"/>
        <w:rPr>
          <w:sz w:val="24"/>
          <w:szCs w:val="24"/>
        </w:rPr>
      </w:pPr>
      <w:r>
        <w:rPr>
          <w:sz w:val="24"/>
          <w:szCs w:val="24"/>
        </w:rPr>
        <w:tab/>
        <w:tab/>
        <w:tab/>
        <w:tab/>
        <w:tab/>
        <w:tab/>
        <w:tab/>
        <w:tab/>
        <w:tab/>
        <w:tab/>
        <w:tab/>
      </w:r>
    </w:p>
    <w:p>
      <w:pPr>
        <w:pStyle w:val="Normal.0"/>
        <w:rPr>
          <w:sz w:val="24"/>
          <w:szCs w:val="24"/>
        </w:rPr>
      </w:pPr>
    </w:p>
    <w:p>
      <w:pPr>
        <w:pStyle w:val="Normal.0"/>
        <w:rPr>
          <w:i w:val="1"/>
          <w:iCs w:val="1"/>
          <w:sz w:val="24"/>
          <w:szCs w:val="24"/>
        </w:rPr>
      </w:pPr>
      <w:r>
        <w:rPr>
          <w:i w:val="1"/>
          <w:iCs w:val="1"/>
          <w:sz w:val="24"/>
          <w:szCs w:val="24"/>
          <w:rtl w:val="0"/>
          <w:lang w:val="en-US"/>
        </w:rPr>
        <w:t>The project</w:t>
      </w:r>
      <w:r>
        <w:rPr>
          <w:i w:val="1"/>
          <w:iCs w:val="1"/>
          <w:sz w:val="24"/>
          <w:szCs w:val="24"/>
          <w:rtl w:val="0"/>
          <w:lang w:val="en-US"/>
        </w:rPr>
        <w:t>’</w:t>
      </w:r>
      <w:r>
        <w:rPr>
          <w:i w:val="1"/>
          <w:iCs w:val="1"/>
          <w:sz w:val="24"/>
          <w:szCs w:val="24"/>
          <w:rtl w:val="0"/>
          <w:lang w:val="en-US"/>
        </w:rPr>
        <w:t>s plan</w:t>
      </w:r>
    </w:p>
    <w:p>
      <w:pPr>
        <w:pStyle w:val="Normal.0"/>
        <w:jc w:val="both"/>
        <w:rPr>
          <w:sz w:val="24"/>
          <w:szCs w:val="24"/>
        </w:rPr>
      </w:pPr>
      <w:r>
        <w:rPr>
          <w:sz w:val="24"/>
          <w:szCs w:val="24"/>
          <w:rtl w:val="0"/>
          <w:lang w:val="en-US"/>
        </w:rPr>
        <w:t xml:space="preserve">So far, in the relevant literature, the processing of the epigraphical data of the </w:t>
      </w:r>
      <w:r>
        <w:rPr>
          <w:i w:val="1"/>
          <w:iCs w:val="1"/>
          <w:sz w:val="24"/>
          <w:szCs w:val="24"/>
          <w:rtl w:val="0"/>
          <w:lang w:val="en-US"/>
        </w:rPr>
        <w:t>poletae</w:t>
      </w:r>
      <w:r>
        <w:rPr>
          <w:sz w:val="24"/>
          <w:szCs w:val="24"/>
          <w:rtl w:val="0"/>
          <w:lang w:val="en-US"/>
        </w:rPr>
        <w:t xml:space="preserve"> records has targeted issues such as price statistics, mine categorization nomenclature</w:t>
      </w:r>
      <w:r>
        <w:rPr>
          <w:i w:val="1"/>
          <w:iCs w:val="1"/>
          <w:sz w:val="24"/>
          <w:szCs w:val="24"/>
          <w:rtl w:val="0"/>
          <w:lang w:val="en-US"/>
        </w:rPr>
        <w:t xml:space="preserve"> </w:t>
      </w:r>
      <w:r>
        <w:rPr>
          <w:sz w:val="24"/>
          <w:szCs w:val="24"/>
          <w:rtl w:val="0"/>
          <w:lang w:val="en-US"/>
        </w:rPr>
        <w:t>and</w:t>
      </w:r>
      <w:r>
        <w:rPr>
          <w:i w:val="1"/>
          <w:iCs w:val="1"/>
          <w:sz w:val="24"/>
          <w:szCs w:val="24"/>
          <w:rtl w:val="0"/>
          <w:lang w:val="en-US"/>
        </w:rPr>
        <w:t xml:space="preserve"> </w:t>
      </w:r>
      <w:r>
        <w:rPr>
          <w:sz w:val="24"/>
          <w:szCs w:val="24"/>
          <w:rtl w:val="0"/>
          <w:lang w:val="en-US"/>
        </w:rPr>
        <w:t>prosopography</w:t>
      </w:r>
      <w:r>
        <w:rPr>
          <w:sz w:val="24"/>
          <w:szCs w:val="24"/>
          <w:vertAlign w:val="superscript"/>
        </w:rPr>
        <w:footnoteReference w:id="14"/>
      </w:r>
      <w:r>
        <w:rPr>
          <w:sz w:val="24"/>
          <w:szCs w:val="24"/>
          <w:rtl w:val="0"/>
          <w:lang w:val="en-US"/>
        </w:rPr>
        <w:t>.</w:t>
      </w:r>
    </w:p>
    <w:p>
      <w:pPr>
        <w:pStyle w:val="Normal.0"/>
        <w:jc w:val="both"/>
        <w:rPr>
          <w:sz w:val="24"/>
          <w:szCs w:val="24"/>
        </w:rPr>
      </w:pPr>
      <w:r>
        <w:rPr>
          <w:sz w:val="24"/>
          <w:szCs w:val="24"/>
          <w:rtl w:val="0"/>
          <w:lang w:val="en-US"/>
        </w:rPr>
        <w:t>In this project, it is attempted to reconstruct a flexible set of abstract mental maps, beyond a defined geometric space, in order to explore the network of spatial relationships defined in the epigraphical record and the social and economic meanings involved. In achieving this, we have planned and have begun to follow a four step process:</w:t>
      </w:r>
    </w:p>
    <w:p>
      <w:pPr>
        <w:pStyle w:val="Normal.0"/>
        <w:jc w:val="both"/>
        <w:rPr>
          <w:sz w:val="24"/>
          <w:szCs w:val="24"/>
        </w:rPr>
      </w:pPr>
      <w:r>
        <w:rPr>
          <w:sz w:val="24"/>
          <w:szCs w:val="24"/>
          <w:rtl w:val="0"/>
          <w:lang w:val="en-US"/>
        </w:rPr>
        <w:t xml:space="preserve">First, the construction and implementation of a database to investigate the </w:t>
      </w:r>
      <w:r>
        <w:rPr>
          <w:sz w:val="24"/>
          <w:szCs w:val="24"/>
          <w:rtl w:val="0"/>
          <w:lang w:val="en-US"/>
        </w:rPr>
        <w:t>“</w:t>
      </w:r>
      <w:r>
        <w:rPr>
          <w:sz w:val="24"/>
          <w:szCs w:val="24"/>
          <w:rtl w:val="0"/>
          <w:lang w:val="en-US"/>
        </w:rPr>
        <w:t>intermediate</w:t>
      </w:r>
      <w:r>
        <w:rPr>
          <w:sz w:val="24"/>
          <w:szCs w:val="24"/>
          <w:rtl w:val="0"/>
          <w:lang w:val="en-US"/>
        </w:rPr>
        <w:t xml:space="preserve">” </w:t>
      </w:r>
      <w:r>
        <w:rPr>
          <w:sz w:val="24"/>
          <w:szCs w:val="24"/>
          <w:rtl w:val="0"/>
          <w:lang w:val="en-US"/>
        </w:rPr>
        <w:t xml:space="preserve">logical network of relationships, which transforms the </w:t>
      </w:r>
      <w:r>
        <w:rPr>
          <w:i w:val="1"/>
          <w:iCs w:val="1"/>
          <w:sz w:val="24"/>
          <w:szCs w:val="24"/>
          <w:rtl w:val="0"/>
          <w:lang w:val="en-US"/>
        </w:rPr>
        <w:t>poletae</w:t>
      </w:r>
      <w:r>
        <w:rPr>
          <w:sz w:val="24"/>
          <w:szCs w:val="24"/>
          <w:rtl w:val="0"/>
          <w:lang w:val="en-US"/>
        </w:rPr>
        <w:t xml:space="preserve"> records mental map into an intra-referential network (</w:t>
      </w:r>
      <w:r>
        <w:rPr>
          <w:outline w:val="0"/>
          <w:color w:val="ff0000"/>
          <w:sz w:val="24"/>
          <w:szCs w:val="24"/>
          <w:u w:color="ff0000"/>
          <w:rtl w:val="0"/>
          <w:lang w:val="en-US"/>
          <w14:textFill>
            <w14:solidFill>
              <w14:srgbClr w14:val="FF0000"/>
            </w14:solidFill>
          </w14:textFill>
        </w:rPr>
        <w:t>fig.</w:t>
      </w:r>
      <w:r>
        <w:rPr>
          <w:outline w:val="0"/>
          <w:color w:val="ff0000"/>
          <w:sz w:val="24"/>
          <w:szCs w:val="24"/>
          <w:u w:color="ff2600"/>
          <w:rtl w:val="0"/>
          <w:lang w:val="en-US"/>
          <w14:textFill>
            <w14:solidFill>
              <w14:srgbClr w14:val="FF0000"/>
            </w14:solidFill>
          </w14:textFill>
        </w:rPr>
        <w:t>3</w:t>
      </w:r>
      <w:r>
        <w:rPr>
          <w:sz w:val="24"/>
          <w:szCs w:val="24"/>
          <w:rtl w:val="0"/>
          <w:lang w:val="en-US"/>
        </w:rPr>
        <w:t>).</w:t>
      </w:r>
    </w:p>
    <w:p>
      <w:pPr>
        <w:pStyle w:val="Normal.0"/>
        <w:jc w:val="both"/>
        <w:rPr>
          <w:sz w:val="24"/>
          <w:szCs w:val="24"/>
        </w:rPr>
      </w:pPr>
      <w:r>
        <w:rPr>
          <w:sz w:val="24"/>
          <w:szCs w:val="24"/>
          <w:rtl w:val="0"/>
          <w:lang w:val="en-US"/>
        </w:rPr>
        <w:t>Second, the discrete discontinuous textual references analysed in their network links are transformed into a continuous virtual surface, with a virtual spatial dimension, in a virtual space defined by a matrix of cells.</w:t>
      </w:r>
    </w:p>
    <w:p>
      <w:pPr>
        <w:pStyle w:val="Normal.0"/>
        <w:jc w:val="both"/>
        <w:rPr>
          <w:sz w:val="24"/>
          <w:szCs w:val="24"/>
        </w:rPr>
      </w:pPr>
      <w:r>
        <w:rPr>
          <w:sz w:val="24"/>
          <w:szCs w:val="24"/>
          <w:rtl w:val="0"/>
          <w:lang w:val="en-US"/>
        </w:rPr>
        <w:t xml:space="preserve">Third, we should develop a methodology for the transferring of the intra-referential network into a spatially and geometrically correct </w:t>
      </w:r>
      <w:r>
        <w:rPr>
          <w:sz w:val="24"/>
          <w:szCs w:val="24"/>
          <w:rtl w:val="0"/>
          <w:lang w:val="en-US"/>
        </w:rPr>
        <w:t>“</w:t>
      </w:r>
      <w:r>
        <w:rPr>
          <w:sz w:val="24"/>
          <w:szCs w:val="24"/>
          <w:rtl w:val="0"/>
          <w:lang w:val="en-US"/>
        </w:rPr>
        <w:t>intermediate</w:t>
      </w:r>
      <w:r>
        <w:rPr>
          <w:sz w:val="24"/>
          <w:szCs w:val="24"/>
          <w:rtl w:val="0"/>
          <w:lang w:val="en-US"/>
        </w:rPr>
        <w:t xml:space="preserve">” </w:t>
      </w:r>
      <w:r>
        <w:rPr>
          <w:sz w:val="24"/>
          <w:szCs w:val="24"/>
          <w:rtl w:val="0"/>
          <w:lang w:val="en-US"/>
        </w:rPr>
        <w:t>virtual map. In other words, we should be able to perform the mathematical formation of a coherent and geometrically correct coordinate system of an intermediate virtual space (</w:t>
      </w:r>
      <w:r>
        <w:rPr>
          <w:outline w:val="0"/>
          <w:color w:val="ff0000"/>
          <w:sz w:val="24"/>
          <w:szCs w:val="24"/>
          <w:u w:color="ff0000"/>
          <w:rtl w:val="0"/>
          <w:lang w:val="en-US"/>
          <w14:textFill>
            <w14:solidFill>
              <w14:srgbClr w14:val="FF0000"/>
            </w14:solidFill>
          </w14:textFill>
        </w:rPr>
        <w:t>fig.4</w:t>
      </w:r>
      <w:r>
        <w:rPr>
          <w:sz w:val="24"/>
          <w:szCs w:val="24"/>
          <w:rtl w:val="0"/>
          <w:lang w:val="en-US"/>
        </w:rPr>
        <w:t>).</w:t>
      </w:r>
    </w:p>
    <w:p>
      <w:pPr>
        <w:pStyle w:val="Normal.0"/>
        <w:jc w:val="both"/>
        <w:rPr>
          <w:sz w:val="24"/>
          <w:szCs w:val="24"/>
        </w:rPr>
      </w:pPr>
      <w:r>
        <w:rPr>
          <w:sz w:val="24"/>
          <w:szCs w:val="24"/>
          <w:rtl w:val="0"/>
          <w:lang w:val="en-US"/>
        </w:rPr>
        <w:t xml:space="preserve">Fourth, to proceed to a reconstruction (insofar it is possible) of the landscape of the area as in the 4th cent. BCE, mapping the workshops and the physical features such as streams and ridges, by linking the intermediate map to the modern three-dimensional geo-topographical space, through the identification process of comparing archaeological data, especially rupestral inscriptions and </w:t>
      </w:r>
      <w:r>
        <w:rPr>
          <w:i w:val="1"/>
          <w:iCs w:val="1"/>
          <w:sz w:val="24"/>
          <w:szCs w:val="24"/>
          <w:rtl w:val="0"/>
          <w:lang w:val="en-US"/>
        </w:rPr>
        <w:t>horoi</w:t>
      </w:r>
      <w:r>
        <w:rPr>
          <w:sz w:val="24"/>
          <w:szCs w:val="24"/>
          <w:rtl w:val="0"/>
          <w:lang w:val="en-US"/>
        </w:rPr>
        <w:t xml:space="preserve">, and workshops and mine </w:t>
      </w:r>
      <w:r>
        <w:rPr>
          <w:i w:val="1"/>
          <w:iCs w:val="1"/>
          <w:sz w:val="24"/>
          <w:szCs w:val="24"/>
          <w:rtl w:val="0"/>
          <w:lang w:val="en-US"/>
        </w:rPr>
        <w:t>stelae</w:t>
      </w:r>
      <w:r>
        <w:rPr>
          <w:i w:val="1"/>
          <w:iCs w:val="1"/>
          <w:sz w:val="24"/>
          <w:szCs w:val="24"/>
          <w:vertAlign w:val="superscript"/>
        </w:rPr>
        <w:footnoteReference w:id="15"/>
      </w:r>
      <w:r>
        <w:rPr>
          <w:sz w:val="24"/>
          <w:szCs w:val="24"/>
          <w:rtl w:val="0"/>
          <w:lang w:val="en-US"/>
        </w:rPr>
        <w:t xml:space="preserve"> to the </w:t>
      </w:r>
      <w:r>
        <w:rPr>
          <w:i w:val="1"/>
          <w:iCs w:val="1"/>
          <w:sz w:val="24"/>
          <w:szCs w:val="24"/>
          <w:rtl w:val="0"/>
          <w:lang w:val="en-US"/>
        </w:rPr>
        <w:t>poletae</w:t>
      </w:r>
      <w:r>
        <w:rPr>
          <w:sz w:val="24"/>
          <w:szCs w:val="24"/>
          <w:rtl w:val="0"/>
          <w:lang w:val="en-US"/>
        </w:rPr>
        <w:t xml:space="preserve"> inscription texts.</w:t>
      </w:r>
    </w:p>
    <w:p>
      <w:pPr>
        <w:pStyle w:val="Normal.0"/>
        <w:jc w:val="both"/>
        <w:rPr>
          <w:sz w:val="24"/>
          <w:szCs w:val="24"/>
        </w:rPr>
      </w:pPr>
      <w:r>
        <w:rPr>
          <w:sz w:val="24"/>
          <w:szCs w:val="24"/>
        </w:rPr>
        <w:tab/>
        <w:tab/>
        <w:tab/>
        <w:tab/>
        <w:tab/>
        <w:tab/>
        <w:tab/>
        <w:tab/>
        <w:tab/>
        <w:tab/>
        <w:tab/>
        <w:tab/>
      </w:r>
    </w:p>
    <w:p>
      <w:pPr>
        <w:pStyle w:val="Normal.0"/>
        <w:jc w:val="both"/>
        <w:rPr>
          <w:sz w:val="24"/>
          <w:szCs w:val="24"/>
        </w:rPr>
      </w:pPr>
      <w:r>
        <w:rPr>
          <w:sz w:val="24"/>
          <w:szCs w:val="24"/>
          <w14:textOutline w14:w="12700" w14:cap="flat">
            <w14:noFill/>
            <w14:miter w14:lim="400000"/>
          </w14:textOutline>
        </w:rPr>
        <w:drawing xmlns:a="http://schemas.openxmlformats.org/drawingml/2006/main">
          <wp:inline distT="0" distB="0" distL="0" distR="0">
            <wp:extent cx="5755641" cy="4316730"/>
            <wp:effectExtent l="0" t="0" r="0" b="0"/>
            <wp:docPr id="1073741831" name="officeArt object" descr="Fig.3.jpg"/>
            <wp:cNvGraphicFramePr/>
            <a:graphic xmlns:a="http://schemas.openxmlformats.org/drawingml/2006/main">
              <a:graphicData uri="http://schemas.openxmlformats.org/drawingml/2006/picture">
                <pic:pic xmlns:pic="http://schemas.openxmlformats.org/drawingml/2006/picture">
                  <pic:nvPicPr>
                    <pic:cNvPr id="1073741831" name="Fig.3.jpg" descr="Fig.3.jpg"/>
                    <pic:cNvPicPr>
                      <a:picLocks noChangeAspect="1"/>
                    </pic:cNvPicPr>
                  </pic:nvPicPr>
                  <pic:blipFill>
                    <a:blip r:embed="rId11">
                      <a:extLst/>
                    </a:blip>
                    <a:stretch>
                      <a:fillRect/>
                    </a:stretch>
                  </pic:blipFill>
                  <pic:spPr>
                    <a:xfrm>
                      <a:off x="0" y="0"/>
                      <a:ext cx="5755641" cy="4316730"/>
                    </a:xfrm>
                    <a:prstGeom prst="rect">
                      <a:avLst/>
                    </a:prstGeom>
                    <a:ln w="12700" cap="flat">
                      <a:noFill/>
                      <a:miter lim="400000"/>
                    </a:ln>
                    <a:effectLst/>
                  </pic:spPr>
                </pic:pic>
              </a:graphicData>
            </a:graphic>
          </wp:inline>
        </w:drawing>
      </w:r>
    </w:p>
    <w:p>
      <w:pPr>
        <w:pStyle w:val="Normal.0"/>
        <w:jc w:val="both"/>
        <w:rPr>
          <w:sz w:val="24"/>
          <w:szCs w:val="24"/>
        </w:rPr>
      </w:pPr>
      <w:r>
        <w:rPr>
          <w:b w:val="1"/>
          <w:bCs w:val="1"/>
          <w:outline w:val="0"/>
          <w:color w:val="ff0000"/>
          <w:sz w:val="24"/>
          <w:szCs w:val="24"/>
          <w:u w:color="ff0000"/>
          <w:rtl w:val="0"/>
          <w:lang w:val="en-US"/>
          <w14:textFill>
            <w14:solidFill>
              <w14:srgbClr w14:val="FF0000"/>
            </w14:solidFill>
          </w14:textFill>
        </w:rPr>
        <w:t>Figure</w:t>
      </w:r>
      <w:r>
        <w:rPr>
          <w:b w:val="1"/>
          <w:bCs w:val="1"/>
          <w:sz w:val="24"/>
          <w:szCs w:val="24"/>
          <w:rtl w:val="0"/>
          <w:lang w:val="en-US"/>
        </w:rPr>
        <w:t xml:space="preserve"> </w:t>
      </w:r>
      <w:r>
        <w:rPr>
          <w:b w:val="1"/>
          <w:bCs w:val="1"/>
          <w:outline w:val="0"/>
          <w:color w:val="ff2600"/>
          <w:sz w:val="24"/>
          <w:szCs w:val="24"/>
          <w:u w:color="ff2600"/>
          <w:rtl w:val="0"/>
          <w:lang w:val="en-US"/>
          <w14:textFill>
            <w14:solidFill>
              <w14:srgbClr w14:val="FF2600"/>
            </w14:solidFill>
          </w14:textFill>
        </w:rPr>
        <w:t>3</w:t>
      </w:r>
      <w:r>
        <w:rPr>
          <w:b w:val="1"/>
          <w:bCs w:val="1"/>
          <w:sz w:val="24"/>
          <w:szCs w:val="24"/>
          <w:rtl w:val="0"/>
          <w:lang w:val="en-US"/>
        </w:rPr>
        <w:t xml:space="preserve"> </w:t>
      </w:r>
      <w:r>
        <w:rPr>
          <w:sz w:val="20"/>
          <w:szCs w:val="20"/>
          <w:rtl w:val="0"/>
          <w:lang w:val="en-US"/>
        </w:rPr>
        <w:t xml:space="preserve">The simplified ER model on which is based the Database implemented for the project. </w:t>
      </w:r>
    </w:p>
    <w:p>
      <w:pPr>
        <w:pStyle w:val="Normal.0"/>
        <w:jc w:val="both"/>
        <w:rPr>
          <w:b w:val="1"/>
          <w:bCs w:val="1"/>
          <w:outline w:val="0"/>
          <w:color w:val="ff0000"/>
          <w:sz w:val="24"/>
          <w:szCs w:val="24"/>
          <w:u w:color="ff0000"/>
          <w14:textFill>
            <w14:solidFill>
              <w14:srgbClr w14:val="FF0000"/>
            </w14:solidFill>
          </w14:textFill>
        </w:rPr>
      </w:pPr>
      <w:r>
        <w:rPr>
          <w:b w:val="1"/>
          <w:bCs w:val="1"/>
          <w:outline w:val="0"/>
          <w:color w:val="ff0000"/>
          <w:sz w:val="24"/>
          <w:szCs w:val="24"/>
          <w:u w:color="ff0000"/>
          <w14:textOutline w14:w="12700" w14:cap="flat">
            <w14:noFill/>
            <w14:miter w14:lim="400000"/>
          </w14:textOutline>
          <w14:textFill>
            <w14:solidFill>
              <w14:srgbClr w14:val="FF0000"/>
            </w14:solidFill>
          </w14:textFill>
        </w:rPr>
        <w:drawing xmlns:a="http://schemas.openxmlformats.org/drawingml/2006/main">
          <wp:inline distT="0" distB="0" distL="0" distR="0">
            <wp:extent cx="3108961" cy="1725168"/>
            <wp:effectExtent l="0" t="0" r="0" b="0"/>
            <wp:docPr id="1073741832" name="officeArt object" descr="Fig.4.jpg"/>
            <wp:cNvGraphicFramePr/>
            <a:graphic xmlns:a="http://schemas.openxmlformats.org/drawingml/2006/main">
              <a:graphicData uri="http://schemas.openxmlformats.org/drawingml/2006/picture">
                <pic:pic xmlns:pic="http://schemas.openxmlformats.org/drawingml/2006/picture">
                  <pic:nvPicPr>
                    <pic:cNvPr id="1073741832" name="Fig.4.jpg" descr="Fig.4.jpg"/>
                    <pic:cNvPicPr>
                      <a:picLocks noChangeAspect="1"/>
                    </pic:cNvPicPr>
                  </pic:nvPicPr>
                  <pic:blipFill>
                    <a:blip r:embed="rId12">
                      <a:extLst/>
                    </a:blip>
                    <a:stretch>
                      <a:fillRect/>
                    </a:stretch>
                  </pic:blipFill>
                  <pic:spPr>
                    <a:xfrm>
                      <a:off x="0" y="0"/>
                      <a:ext cx="3108961" cy="1725168"/>
                    </a:xfrm>
                    <a:prstGeom prst="rect">
                      <a:avLst/>
                    </a:prstGeom>
                    <a:ln w="12700" cap="flat">
                      <a:noFill/>
                      <a:miter lim="400000"/>
                    </a:ln>
                    <a:effectLst/>
                  </pic:spPr>
                </pic:pic>
              </a:graphicData>
            </a:graphic>
          </wp:inline>
        </w:drawing>
      </w:r>
    </w:p>
    <w:p>
      <w:pPr>
        <w:pStyle w:val="Normal.0"/>
        <w:jc w:val="both"/>
        <w:rPr>
          <w:sz w:val="24"/>
          <w:szCs w:val="24"/>
        </w:rPr>
      </w:pPr>
      <w:r>
        <w:rPr>
          <w:b w:val="1"/>
          <w:bCs w:val="1"/>
          <w:outline w:val="0"/>
          <w:color w:val="ff0000"/>
          <w:sz w:val="24"/>
          <w:szCs w:val="24"/>
          <w:u w:color="ff0000"/>
          <w:rtl w:val="0"/>
          <w:lang w:val="en-US"/>
          <w14:textFill>
            <w14:solidFill>
              <w14:srgbClr w14:val="FF0000"/>
            </w14:solidFill>
          </w14:textFill>
        </w:rPr>
        <w:t xml:space="preserve">Figure 4 </w:t>
      </w:r>
      <w:r>
        <w:rPr>
          <w:sz w:val="20"/>
          <w:szCs w:val="20"/>
          <w:rtl w:val="0"/>
          <w:lang w:val="en-US"/>
        </w:rPr>
        <w:t xml:space="preserve">The 4 steps of the process: from the </w:t>
      </w:r>
      <w:r>
        <w:rPr>
          <w:i w:val="1"/>
          <w:iCs w:val="1"/>
          <w:sz w:val="20"/>
          <w:szCs w:val="20"/>
          <w:rtl w:val="0"/>
          <w:lang w:val="en-US"/>
        </w:rPr>
        <w:t>poletae</w:t>
      </w:r>
      <w:r>
        <w:rPr>
          <w:sz w:val="20"/>
          <w:szCs w:val="20"/>
          <w:rtl w:val="0"/>
          <w:lang w:val="en-US"/>
        </w:rPr>
        <w:t xml:space="preserve"> inscription to real landscape via the construction and the virtual representation of mental maps.</w:t>
      </w:r>
      <w:r>
        <w:rPr>
          <w:sz w:val="24"/>
          <w:szCs w:val="24"/>
          <w:rtl w:val="0"/>
          <w:lang w:val="en-US"/>
        </w:rPr>
        <w:t xml:space="preserve"> </w:t>
      </w:r>
    </w:p>
    <w:p>
      <w:pPr>
        <w:pStyle w:val="Normal.0"/>
        <w:jc w:val="both"/>
        <w:rPr>
          <w:sz w:val="24"/>
          <w:szCs w:val="24"/>
        </w:rPr>
      </w:pPr>
    </w:p>
    <w:p>
      <w:pPr>
        <w:pStyle w:val="Normal.0"/>
        <w:jc w:val="both"/>
        <w:rPr>
          <w:i w:val="1"/>
          <w:iCs w:val="1"/>
          <w:sz w:val="24"/>
          <w:szCs w:val="24"/>
        </w:rPr>
      </w:pPr>
    </w:p>
    <w:p>
      <w:pPr>
        <w:pStyle w:val="Normal.0"/>
        <w:jc w:val="both"/>
        <w:rPr>
          <w:i w:val="1"/>
          <w:iCs w:val="1"/>
          <w:sz w:val="24"/>
          <w:szCs w:val="24"/>
        </w:rPr>
      </w:pPr>
      <w:r>
        <w:rPr>
          <w:i w:val="1"/>
          <w:iCs w:val="1"/>
          <w:sz w:val="24"/>
          <w:szCs w:val="24"/>
          <w:rtl w:val="0"/>
          <w:lang w:val="en-US"/>
        </w:rPr>
        <w:t>The work so far</w:t>
      </w:r>
    </w:p>
    <w:p>
      <w:pPr>
        <w:pStyle w:val="Normal.0"/>
        <w:jc w:val="both"/>
        <w:rPr>
          <w:sz w:val="24"/>
          <w:szCs w:val="24"/>
        </w:rPr>
      </w:pPr>
      <w:r>
        <w:rPr>
          <w:sz w:val="24"/>
          <w:szCs w:val="24"/>
          <w:rtl w:val="0"/>
          <w:lang w:val="en-US"/>
        </w:rPr>
        <w:t xml:space="preserve">As explained above, we first have to tackle the construction and implementation of a database to investigate the </w:t>
      </w:r>
      <w:r>
        <w:rPr>
          <w:sz w:val="24"/>
          <w:szCs w:val="24"/>
          <w:rtl w:val="0"/>
          <w:lang w:val="en-US"/>
        </w:rPr>
        <w:t>“</w:t>
      </w:r>
      <w:r>
        <w:rPr>
          <w:sz w:val="24"/>
          <w:szCs w:val="24"/>
          <w:rtl w:val="0"/>
          <w:lang w:val="en-US"/>
        </w:rPr>
        <w:t>intermediate</w:t>
      </w:r>
      <w:r>
        <w:rPr>
          <w:sz w:val="24"/>
          <w:szCs w:val="24"/>
          <w:rtl w:val="0"/>
          <w:lang w:val="en-US"/>
        </w:rPr>
        <w:t xml:space="preserve">” </w:t>
      </w:r>
      <w:r>
        <w:rPr>
          <w:sz w:val="24"/>
          <w:szCs w:val="24"/>
          <w:rtl w:val="0"/>
          <w:lang w:val="en-US"/>
        </w:rPr>
        <w:t xml:space="preserve">logical network of relationships, with the aim to convert the </w:t>
      </w:r>
      <w:r>
        <w:rPr>
          <w:i w:val="1"/>
          <w:iCs w:val="1"/>
          <w:sz w:val="24"/>
          <w:szCs w:val="24"/>
          <w:rtl w:val="0"/>
          <w:lang w:val="en-US"/>
        </w:rPr>
        <w:t>poletae</w:t>
      </w:r>
      <w:r>
        <w:rPr>
          <w:sz w:val="24"/>
          <w:szCs w:val="24"/>
          <w:rtl w:val="0"/>
          <w:lang w:val="en-US"/>
        </w:rPr>
        <w:t xml:space="preserve"> records into an intra-referential network which will constitute our set of mental maps. </w:t>
      </w:r>
    </w:p>
    <w:p>
      <w:pPr>
        <w:pStyle w:val="Normal.0"/>
        <w:jc w:val="both"/>
        <w:rPr>
          <w:sz w:val="24"/>
          <w:szCs w:val="24"/>
        </w:rPr>
      </w:pPr>
      <w:r>
        <w:rPr>
          <w:sz w:val="24"/>
          <w:szCs w:val="24"/>
          <w:rtl w:val="0"/>
          <w:lang w:val="en-US"/>
        </w:rPr>
        <w:t>The implementation of the database (in SQL language in a Spatialite environment) is going to be a productive task on its own, allowing for the investigation of plenty of queries, on epigraphical issues and prosopography, as well as on social structures and processes, involving especially the relationships between landowners, workshop owners and mine lessees (</w:t>
      </w:r>
      <w:r>
        <w:rPr>
          <w:i w:val="1"/>
          <w:iCs w:val="1"/>
          <w:sz w:val="24"/>
          <w:szCs w:val="24"/>
          <w:rtl w:val="0"/>
          <w:lang w:val="en-US"/>
        </w:rPr>
        <w:t>Onetae</w:t>
      </w:r>
      <w:r>
        <w:rPr>
          <w:sz w:val="24"/>
          <w:szCs w:val="24"/>
          <w:rtl w:val="0"/>
          <w:lang w:val="en-US"/>
        </w:rPr>
        <w:t>), and the embodiment of the Athenian socio-economic structure (property management system). For our purpose we focus on: the relationship between prosopography and place names (involving mines, workshops, physical features such as ridges, streams and gorges), and the occurrence and use of particular prepositions in the indication of places (</w:t>
      </w:r>
      <w:r>
        <w:rPr>
          <w:i w:val="1"/>
          <w:iCs w:val="1"/>
          <w:sz w:val="24"/>
          <w:szCs w:val="24"/>
          <w:rtl w:val="0"/>
          <w:lang w:val="en-US"/>
        </w:rPr>
        <w:t>en, epi, eis</w:t>
      </w:r>
      <w:r>
        <w:rPr>
          <w:sz w:val="24"/>
          <w:szCs w:val="24"/>
          <w:rtl w:val="0"/>
          <w:lang w:val="en-US"/>
        </w:rPr>
        <w:t>).</w:t>
      </w:r>
    </w:p>
    <w:p>
      <w:pPr>
        <w:pStyle w:val="Normal.0"/>
        <w:jc w:val="both"/>
        <w:rPr>
          <w:sz w:val="24"/>
          <w:szCs w:val="24"/>
        </w:rPr>
      </w:pPr>
      <w:r>
        <w:rPr>
          <w:sz w:val="24"/>
          <w:szCs w:val="24"/>
          <w:rtl w:val="0"/>
          <w:lang w:val="en-US"/>
        </w:rPr>
        <w:t xml:space="preserve">The database records the indication of relative location of place names mentioned in the </w:t>
      </w:r>
      <w:r>
        <w:rPr>
          <w:i w:val="1"/>
          <w:iCs w:val="1"/>
          <w:sz w:val="24"/>
          <w:szCs w:val="24"/>
          <w:rtl w:val="0"/>
          <w:lang w:val="en-US"/>
        </w:rPr>
        <w:t>eggraphes metallwn</w:t>
      </w:r>
      <w:r>
        <w:rPr>
          <w:sz w:val="24"/>
          <w:szCs w:val="24"/>
          <w:rtl w:val="0"/>
          <w:lang w:val="en-US"/>
        </w:rPr>
        <w:t xml:space="preserve">, in the </w:t>
      </w:r>
      <w:r>
        <w:rPr>
          <w:i w:val="1"/>
          <w:iCs w:val="1"/>
          <w:sz w:val="24"/>
          <w:szCs w:val="24"/>
          <w:rtl w:val="0"/>
          <w:lang w:val="en-US"/>
        </w:rPr>
        <w:t>Poletae</w:t>
      </w:r>
      <w:r>
        <w:rPr>
          <w:sz w:val="24"/>
          <w:szCs w:val="24"/>
          <w:rtl w:val="0"/>
          <w:lang w:val="en-US"/>
        </w:rPr>
        <w:t xml:space="preserve"> records. They show several possible combination of relative locations in space, marked by different degrees of complexity. For example, we may explore the potential to employ the recurrence of land owners or their relatives in conjunction with others, non-relatives, as indication of land proximity, applying the investigation of Proxy factors. Space, thus, reflects personal or family relationships and acquires a social dimension. </w:t>
      </w:r>
    </w:p>
    <w:p>
      <w:pPr>
        <w:pStyle w:val="Normal.0"/>
        <w:jc w:val="both"/>
        <w:rPr>
          <w:sz w:val="24"/>
          <w:szCs w:val="24"/>
        </w:rPr>
      </w:pPr>
      <w:r>
        <w:rPr>
          <w:sz w:val="24"/>
          <w:szCs w:val="24"/>
          <w:rtl w:val="0"/>
          <w:lang w:val="en-US"/>
        </w:rPr>
        <w:t>In this 1</w:t>
      </w:r>
      <w:r>
        <w:rPr>
          <w:sz w:val="24"/>
          <w:szCs w:val="24"/>
          <w:vertAlign w:val="superscript"/>
          <w:rtl w:val="0"/>
          <w:lang w:val="en-US"/>
        </w:rPr>
        <w:t>st</w:t>
      </w:r>
      <w:r>
        <w:rPr>
          <w:sz w:val="24"/>
          <w:szCs w:val="24"/>
          <w:rtl w:val="0"/>
          <w:lang w:val="en-US"/>
        </w:rPr>
        <w:t xml:space="preserve"> step of the process we explore a network of discrete elements with a </w:t>
      </w:r>
      <w:r>
        <w:rPr>
          <w:sz w:val="24"/>
          <w:szCs w:val="24"/>
          <w:rtl w:val="0"/>
          <w:lang w:val="en-US"/>
        </w:rPr>
        <w:t>‘</w:t>
      </w:r>
      <w:r>
        <w:rPr>
          <w:sz w:val="24"/>
          <w:szCs w:val="24"/>
          <w:rtl w:val="0"/>
          <w:lang w:val="en-US"/>
        </w:rPr>
        <w:t>relational</w:t>
      </w:r>
      <w:r>
        <w:rPr>
          <w:sz w:val="24"/>
          <w:szCs w:val="24"/>
          <w:rtl w:val="0"/>
          <w:lang w:val="en-US"/>
        </w:rPr>
        <w:t xml:space="preserve">’ </w:t>
      </w:r>
      <w:r>
        <w:rPr>
          <w:sz w:val="24"/>
          <w:szCs w:val="24"/>
          <w:rtl w:val="0"/>
          <w:lang w:val="en-US"/>
        </w:rPr>
        <w:t xml:space="preserve">spatial character. </w:t>
      </w:r>
    </w:p>
    <w:p>
      <w:pPr>
        <w:pStyle w:val="Normal.0"/>
        <w:jc w:val="both"/>
        <w:rPr>
          <w:sz w:val="24"/>
          <w:szCs w:val="24"/>
        </w:rPr>
      </w:pPr>
      <w:r>
        <w:rPr>
          <w:sz w:val="24"/>
          <w:szCs w:val="24"/>
          <w:rtl w:val="0"/>
          <w:lang w:val="en-US"/>
        </w:rPr>
        <w:t xml:space="preserve">In the second step, the discrete, discontinuous textual references, analysed in step one via their inner connections (intra-relationships by links of orientation, landmarks etc), are transformed into a continuous virtual surface, with a virtual spatial dimension, in a virtual space defined by a matrix of cells. </w:t>
      </w:r>
      <w:r>
        <w:rPr>
          <w:outline w:val="0"/>
          <w:color w:val="ff0000"/>
          <w:sz w:val="24"/>
          <w:szCs w:val="24"/>
          <w:u w:color="ff0000"/>
          <w:rtl w:val="0"/>
          <w:lang w:val="en-US"/>
          <w14:textFill>
            <w14:solidFill>
              <w14:srgbClr w14:val="FF0000"/>
            </w14:solidFill>
          </w14:textFill>
        </w:rPr>
        <w:t xml:space="preserve">Fig.4 </w:t>
      </w:r>
      <w:r>
        <w:rPr>
          <w:sz w:val="24"/>
          <w:szCs w:val="24"/>
          <w:rtl w:val="0"/>
          <w:lang w:val="en-US"/>
        </w:rPr>
        <w:t xml:space="preserve">shows the mathematical transformation of each quartet of orientations (N, S, W, E) defined in each </w:t>
      </w:r>
      <w:r>
        <w:rPr>
          <w:i w:val="1"/>
          <w:iCs w:val="1"/>
          <w:sz w:val="24"/>
          <w:szCs w:val="24"/>
          <w:rtl w:val="0"/>
          <w:lang w:val="en-US"/>
        </w:rPr>
        <w:t xml:space="preserve">Poletae </w:t>
      </w:r>
      <w:r>
        <w:rPr>
          <w:sz w:val="24"/>
          <w:szCs w:val="24"/>
          <w:rtl w:val="0"/>
          <w:lang w:val="en-US"/>
        </w:rPr>
        <w:t>record, in a Cartesian space, each cell defined by four vectors (V1,...V4) of the form V1=(1,0,0,0), V2=(0,1,0,0) V3=(0,0,1,0), V4=(0,0,0,1). Each digit of each quartet derives from the N-S-E-W set in the inscriptions; their value derive from the N4 group of IDs corresponding to unique places. Following this, the DataBase is queried in order to retrieve missing spatial information. For example:</w:t>
      </w:r>
    </w:p>
    <w:p>
      <w:pPr>
        <w:pStyle w:val="Normal.0"/>
        <w:ind w:left="284" w:firstLine="0"/>
        <w:jc w:val="both"/>
        <w:rPr>
          <w:sz w:val="24"/>
          <w:szCs w:val="24"/>
        </w:rPr>
      </w:pPr>
      <w:r>
        <w:rPr>
          <w:sz w:val="24"/>
          <w:szCs w:val="24"/>
          <w:rtl w:val="0"/>
          <w:lang w:val="en-US"/>
        </w:rPr>
        <w:t xml:space="preserve">if </w:t>
      </w:r>
      <w:r>
        <w:rPr>
          <w:sz w:val="24"/>
          <w:szCs w:val="24"/>
          <w:rtl w:val="0"/>
          <w:lang w:val="en-US"/>
        </w:rPr>
        <w:t xml:space="preserve">Ω </w:t>
      </w:r>
      <w:r>
        <w:rPr>
          <w:sz w:val="24"/>
          <w:szCs w:val="24"/>
          <w:rtl w:val="0"/>
          <w:lang w:val="en-US"/>
        </w:rPr>
        <w:t xml:space="preserve">is located East of </w:t>
      </w:r>
      <w:r>
        <w:rPr>
          <w:sz w:val="24"/>
          <w:szCs w:val="24"/>
          <w:rtl w:val="0"/>
          <w:lang w:val="en-US"/>
        </w:rPr>
        <w:t>Δ</w:t>
      </w:r>
      <w:r>
        <w:rPr>
          <w:sz w:val="24"/>
          <w:szCs w:val="24"/>
          <w:rtl w:val="0"/>
          <w:lang w:val="en-US"/>
        </w:rPr>
        <w:t>, then V3 (</w:t>
      </w:r>
      <w:r>
        <w:rPr>
          <w:sz w:val="24"/>
          <w:szCs w:val="24"/>
          <w:rtl w:val="0"/>
          <w:lang w:val="en-US"/>
        </w:rPr>
        <w:t>Δ</w:t>
      </w:r>
      <w:r>
        <w:rPr>
          <w:sz w:val="24"/>
          <w:szCs w:val="24"/>
          <w:rtl w:val="0"/>
          <w:lang w:val="en-US"/>
        </w:rPr>
        <w:t>)=</w:t>
      </w:r>
      <w:r>
        <w:rPr>
          <w:sz w:val="24"/>
          <w:szCs w:val="24"/>
          <w:rtl w:val="0"/>
          <w:lang w:val="en-US"/>
        </w:rPr>
        <w:t xml:space="preserve">Ω </w:t>
      </w:r>
      <w:r>
        <w:rPr>
          <w:sz w:val="24"/>
          <w:szCs w:val="24"/>
          <w:rtl w:val="0"/>
          <w:lang w:val="en-US"/>
        </w:rPr>
        <w:t>and V4(</w:t>
      </w:r>
      <w:r>
        <w:rPr>
          <w:sz w:val="24"/>
          <w:szCs w:val="24"/>
          <w:rtl w:val="0"/>
          <w:lang w:val="en-US"/>
        </w:rPr>
        <w:t>Ω</w:t>
      </w:r>
      <w:r>
        <w:rPr>
          <w:sz w:val="24"/>
          <w:szCs w:val="24"/>
          <w:rtl w:val="0"/>
          <w:lang w:val="en-US"/>
        </w:rPr>
        <w:t>)=</w:t>
      </w:r>
      <w:r>
        <w:rPr>
          <w:sz w:val="24"/>
          <w:szCs w:val="24"/>
          <w:rtl w:val="0"/>
          <w:lang w:val="en-US"/>
        </w:rPr>
        <w:t>Δ</w:t>
      </w:r>
      <w:r>
        <w:rPr>
          <w:sz w:val="24"/>
          <w:szCs w:val="24"/>
          <w:rtl w:val="0"/>
          <w:lang w:val="en-US"/>
        </w:rPr>
        <w:t xml:space="preserve">. Given the quartets as in </w:t>
      </w:r>
      <w:r>
        <w:rPr>
          <w:outline w:val="0"/>
          <w:color w:val="ff0000"/>
          <w:sz w:val="24"/>
          <w:szCs w:val="24"/>
          <w:u w:color="ff0000"/>
          <w:rtl w:val="0"/>
          <w:lang w:val="en-US"/>
          <w14:textFill>
            <w14:solidFill>
              <w14:srgbClr w14:val="FF0000"/>
            </w14:solidFill>
          </w14:textFill>
        </w:rPr>
        <w:t>fig.6</w:t>
      </w:r>
      <w:r>
        <w:rPr>
          <w:sz w:val="24"/>
          <w:szCs w:val="24"/>
          <w:rtl w:val="0"/>
          <w:lang w:val="en-US"/>
        </w:rPr>
        <w:t xml:space="preserve">, if anywhere in the QUARTETS a </w:t>
      </w:r>
      <w:r>
        <w:rPr>
          <w:sz w:val="24"/>
          <w:szCs w:val="24"/>
          <w:rtl w:val="0"/>
          <w:lang w:val="en-US"/>
        </w:rPr>
        <w:t xml:space="preserve">Γ </w:t>
      </w:r>
      <w:r>
        <w:rPr>
          <w:sz w:val="24"/>
          <w:szCs w:val="24"/>
          <w:rtl w:val="0"/>
          <w:lang w:val="en-US"/>
        </w:rPr>
        <w:t>is located in the 3</w:t>
      </w:r>
      <w:r>
        <w:rPr>
          <w:sz w:val="24"/>
          <w:szCs w:val="24"/>
          <w:vertAlign w:val="superscript"/>
          <w:rtl w:val="0"/>
          <w:lang w:val="en-US"/>
        </w:rPr>
        <w:t xml:space="preserve">rd </w:t>
      </w:r>
      <w:r>
        <w:rPr>
          <w:sz w:val="24"/>
          <w:szCs w:val="24"/>
          <w:rtl w:val="0"/>
          <w:lang w:val="en-US"/>
        </w:rPr>
        <w:t>place, the corresponding quartet would be the question mark and would fill a gap in the virtual map.</w:t>
      </w:r>
    </w:p>
    <w:p>
      <w:pPr>
        <w:pStyle w:val="Normal.0"/>
        <w:ind w:left="284" w:firstLine="0"/>
        <w:jc w:val="both"/>
        <w:rPr>
          <w:sz w:val="24"/>
          <w:szCs w:val="24"/>
        </w:rPr>
      </w:pPr>
    </w:p>
    <w:p>
      <w:pPr>
        <w:pStyle w:val="Normal.0"/>
        <w:jc w:val="both"/>
        <w:rPr>
          <w:b w:val="1"/>
          <w:bCs w:val="1"/>
          <w:outline w:val="0"/>
          <w:color w:val="ff0000"/>
          <w:sz w:val="24"/>
          <w:szCs w:val="24"/>
          <w:u w:color="ff0000"/>
          <w14:textFill>
            <w14:solidFill>
              <w14:srgbClr w14:val="FF0000"/>
            </w14:solidFill>
          </w14:textFill>
        </w:rPr>
      </w:pPr>
      <w:r>
        <w:rPr>
          <w:b w:val="1"/>
          <w:bCs w:val="1"/>
          <w:outline w:val="0"/>
          <w:color w:val="ff0000"/>
          <w:sz w:val="24"/>
          <w:szCs w:val="24"/>
          <w:u w:color="ff0000"/>
          <w14:textOutline w14:w="12700" w14:cap="flat">
            <w14:noFill/>
            <w14:miter w14:lim="400000"/>
          </w14:textOutline>
          <w14:textFill>
            <w14:solidFill>
              <w14:srgbClr w14:val="FF0000"/>
            </w14:solidFill>
          </w14:textFill>
        </w:rPr>
        <w:drawing xmlns:a="http://schemas.openxmlformats.org/drawingml/2006/main">
          <wp:inline distT="0" distB="0" distL="0" distR="0">
            <wp:extent cx="5755640" cy="4072890"/>
            <wp:effectExtent l="0" t="0" r="0" b="0"/>
            <wp:docPr id="1073741833" name="officeArt object" descr="Fig.5.jpg"/>
            <wp:cNvGraphicFramePr/>
            <a:graphic xmlns:a="http://schemas.openxmlformats.org/drawingml/2006/main">
              <a:graphicData uri="http://schemas.openxmlformats.org/drawingml/2006/picture">
                <pic:pic xmlns:pic="http://schemas.openxmlformats.org/drawingml/2006/picture">
                  <pic:nvPicPr>
                    <pic:cNvPr id="1073741833" name="Fig.5.jpg" descr="Fig.5.jpg"/>
                    <pic:cNvPicPr>
                      <a:picLocks noChangeAspect="1"/>
                    </pic:cNvPicPr>
                  </pic:nvPicPr>
                  <pic:blipFill>
                    <a:blip r:embed="rId13">
                      <a:extLst/>
                    </a:blip>
                    <a:stretch>
                      <a:fillRect/>
                    </a:stretch>
                  </pic:blipFill>
                  <pic:spPr>
                    <a:xfrm>
                      <a:off x="0" y="0"/>
                      <a:ext cx="5755640" cy="4072890"/>
                    </a:xfrm>
                    <a:prstGeom prst="rect">
                      <a:avLst/>
                    </a:prstGeom>
                    <a:ln w="12700" cap="flat">
                      <a:noFill/>
                      <a:miter lim="400000"/>
                    </a:ln>
                    <a:effectLst/>
                  </pic:spPr>
                </pic:pic>
              </a:graphicData>
            </a:graphic>
          </wp:inline>
        </w:drawing>
      </w:r>
    </w:p>
    <w:p>
      <w:pPr>
        <w:pStyle w:val="Normal.0"/>
        <w:jc w:val="both"/>
        <w:rPr>
          <w:sz w:val="20"/>
          <w:szCs w:val="20"/>
        </w:rPr>
      </w:pPr>
      <w:r>
        <w:rPr>
          <w:b w:val="1"/>
          <w:bCs w:val="1"/>
          <w:outline w:val="0"/>
          <w:color w:val="ff0000"/>
          <w:sz w:val="24"/>
          <w:szCs w:val="24"/>
          <w:u w:color="ff0000"/>
          <w:rtl w:val="0"/>
          <w:lang w:val="en-US"/>
          <w14:textFill>
            <w14:solidFill>
              <w14:srgbClr w14:val="FF0000"/>
            </w14:solidFill>
          </w14:textFill>
        </w:rPr>
        <w:t xml:space="preserve">Figure 5 </w:t>
      </w:r>
      <w:r>
        <w:rPr>
          <w:sz w:val="20"/>
          <w:szCs w:val="20"/>
          <w:rtl w:val="0"/>
          <w:lang w:val="en-US"/>
        </w:rPr>
        <w:t>GPS archaeological survey of the Souriza area (Lavrion), a topographical base useful for the reconstruction of the past real map of the ancient Lavrion.</w:t>
      </w:r>
    </w:p>
    <w:p>
      <w:pPr>
        <w:pStyle w:val="Normal.0"/>
        <w:jc w:val="both"/>
        <w:rPr>
          <w:sz w:val="24"/>
          <w:szCs w:val="24"/>
        </w:rPr>
      </w:pPr>
      <w:r>
        <w:rPr>
          <w:sz w:val="24"/>
          <w:szCs w:val="24"/>
          <w14:textOutline w14:w="12700" w14:cap="flat">
            <w14:noFill/>
            <w14:miter w14:lim="400000"/>
          </w14:textOutline>
        </w:rPr>
        <w:drawing xmlns:a="http://schemas.openxmlformats.org/drawingml/2006/main">
          <wp:inline distT="0" distB="0" distL="0" distR="0">
            <wp:extent cx="1426464" cy="1292353"/>
            <wp:effectExtent l="0" t="0" r="0" b="0"/>
            <wp:docPr id="1073741834" name="officeArt object" descr="Fig.6.jpg"/>
            <wp:cNvGraphicFramePr/>
            <a:graphic xmlns:a="http://schemas.openxmlformats.org/drawingml/2006/main">
              <a:graphicData uri="http://schemas.openxmlformats.org/drawingml/2006/picture">
                <pic:pic xmlns:pic="http://schemas.openxmlformats.org/drawingml/2006/picture">
                  <pic:nvPicPr>
                    <pic:cNvPr id="1073741834" name="Fig.6.jpg" descr="Fig.6.jpg"/>
                    <pic:cNvPicPr>
                      <a:picLocks noChangeAspect="1"/>
                    </pic:cNvPicPr>
                  </pic:nvPicPr>
                  <pic:blipFill>
                    <a:blip r:embed="rId14">
                      <a:extLst/>
                    </a:blip>
                    <a:stretch>
                      <a:fillRect/>
                    </a:stretch>
                  </pic:blipFill>
                  <pic:spPr>
                    <a:xfrm>
                      <a:off x="0" y="0"/>
                      <a:ext cx="1426464" cy="1292353"/>
                    </a:xfrm>
                    <a:prstGeom prst="rect">
                      <a:avLst/>
                    </a:prstGeom>
                    <a:ln w="12700" cap="flat">
                      <a:noFill/>
                      <a:miter lim="400000"/>
                    </a:ln>
                    <a:effectLst/>
                  </pic:spPr>
                </pic:pic>
              </a:graphicData>
            </a:graphic>
          </wp:inline>
        </w:drawing>
      </w:r>
    </w:p>
    <w:p>
      <w:pPr>
        <w:pStyle w:val="Normal.0"/>
        <w:jc w:val="both"/>
      </w:pPr>
    </w:p>
    <w:p>
      <w:pPr>
        <w:pStyle w:val="Normal.0"/>
        <w:jc w:val="both"/>
        <w:rPr>
          <w:sz w:val="24"/>
          <w:szCs w:val="24"/>
        </w:rPr>
      </w:pPr>
      <w:r>
        <w:rPr>
          <w:b w:val="1"/>
          <w:bCs w:val="1"/>
          <w:outline w:val="0"/>
          <w:color w:val="ff0000"/>
          <w:sz w:val="24"/>
          <w:szCs w:val="24"/>
          <w:u w:color="ff0000"/>
          <w:rtl w:val="0"/>
          <w:lang w:val="en-US"/>
          <w14:textFill>
            <w14:solidFill>
              <w14:srgbClr w14:val="FF0000"/>
            </w14:solidFill>
          </w14:textFill>
        </w:rPr>
        <w:t xml:space="preserve">Figure 6 </w:t>
      </w:r>
      <w:r>
        <w:rPr>
          <w:sz w:val="20"/>
          <w:szCs w:val="20"/>
          <w:rtl w:val="0"/>
          <w:lang w:val="en-US"/>
        </w:rPr>
        <w:t>The mathematical transformation in a Cartesian space, each cell defined by four vectors (V1,...V4) of the form V1=(1,0,0,0), V2=(0,1,0,0) V3=(0,0,1,0), V4=(0,0,0,1).</w:t>
      </w:r>
      <w:r>
        <w:rPr>
          <w:sz w:val="24"/>
          <w:szCs w:val="24"/>
          <w:rtl w:val="0"/>
          <w:lang w:val="en-US"/>
        </w:rPr>
        <w:t xml:space="preserve"> </w:t>
      </w:r>
    </w:p>
    <w:p>
      <w:pPr>
        <w:pStyle w:val="Normal.0"/>
        <w:jc w:val="both"/>
        <w:rPr>
          <w:sz w:val="24"/>
          <w:szCs w:val="24"/>
        </w:rPr>
      </w:pPr>
    </w:p>
    <w:p>
      <w:pPr>
        <w:pStyle w:val="Normal.0"/>
        <w:jc w:val="both"/>
        <w:rPr>
          <w:sz w:val="24"/>
          <w:szCs w:val="24"/>
        </w:rPr>
      </w:pPr>
      <w:r>
        <w:rPr>
          <w:sz w:val="24"/>
          <w:szCs w:val="24"/>
          <w:rtl w:val="0"/>
          <w:lang w:val="en-US"/>
        </w:rPr>
        <w:t>In step 2, the virtual representation of the investigated records is a matrix, which maps in a symbolic abstract virtual space the assignment of spatial attributes that cannot be defined yet. The construction of the matrix is based on an algorithm working in a Cartesian space where the transition among the cells is feasible only moving step by step from one cell to another.</w:t>
      </w:r>
    </w:p>
    <w:p>
      <w:pPr>
        <w:pStyle w:val="Normal.0"/>
        <w:jc w:val="both"/>
        <w:rPr>
          <w:sz w:val="24"/>
          <w:szCs w:val="24"/>
        </w:rPr>
      </w:pPr>
      <w:r>
        <w:rPr>
          <w:sz w:val="24"/>
          <w:szCs w:val="24"/>
          <w:rtl w:val="0"/>
          <w:lang w:val="en-US"/>
        </w:rPr>
        <w:t xml:space="preserve">The transition between step 1 and step 2 is allowed through the dynamic interconnection PLACE NAMES </w:t>
      </w:r>
      <w:r>
        <w:rPr>
          <w:sz w:val="24"/>
          <w:szCs w:val="24"/>
          <w:rtl w:val="0"/>
          <w:lang w:val="en-US"/>
        </w:rPr>
        <w:t xml:space="preserve">– </w:t>
      </w:r>
      <w:r>
        <w:rPr>
          <w:sz w:val="24"/>
          <w:szCs w:val="24"/>
          <w:rtl w:val="0"/>
          <w:lang w:val="en-US"/>
        </w:rPr>
        <w:t>PROSOPOGRAPHY - SPATIAL ATTRIBUTES, due to the  incorporation in the inscriptions of the Athenian socio-economic structure (in the form of the prosopographical record linked to spatial features and place names). From text strings representing discrete features we move to cells that signify the link between the words and their spatial attributes.</w:t>
      </w:r>
    </w:p>
    <w:p>
      <w:pPr>
        <w:pStyle w:val="Normal.0"/>
        <w:jc w:val="both"/>
        <w:rPr>
          <w:sz w:val="24"/>
          <w:szCs w:val="24"/>
        </w:rPr>
      </w:pPr>
      <w:r>
        <w:rPr>
          <w:sz w:val="24"/>
          <w:szCs w:val="24"/>
          <w:rtl w:val="0"/>
          <w:lang w:val="en-US"/>
        </w:rPr>
        <w:t xml:space="preserve">In order to move on to step 3, we need to develop a methodology for the transferring of the intra-referential network into a spatially and geometrically correct </w:t>
      </w:r>
      <w:r>
        <w:rPr>
          <w:sz w:val="24"/>
          <w:szCs w:val="24"/>
          <w:rtl w:val="0"/>
          <w:lang w:val="en-US"/>
        </w:rPr>
        <w:t>“</w:t>
      </w:r>
      <w:r>
        <w:rPr>
          <w:sz w:val="24"/>
          <w:szCs w:val="24"/>
          <w:rtl w:val="0"/>
          <w:lang w:val="en-US"/>
        </w:rPr>
        <w:t>intermediate</w:t>
      </w:r>
      <w:r>
        <w:rPr>
          <w:sz w:val="24"/>
          <w:szCs w:val="24"/>
          <w:rtl w:val="0"/>
          <w:lang w:val="en-US"/>
        </w:rPr>
        <w:t xml:space="preserve">” </w:t>
      </w:r>
      <w:r>
        <w:rPr>
          <w:sz w:val="24"/>
          <w:szCs w:val="24"/>
          <w:rtl w:val="0"/>
          <w:lang w:val="en-US"/>
        </w:rPr>
        <w:t>virtual map. In other words, we should be able to perform the mathematical creation of a coherent and geometrically correct coordinate system. To move on to the third stage, and then to the fourth, we need to complete the first two stages and to resolve the matrix in all its possible components, in order to build up a proper topology of the Lavrion landscape.</w:t>
      </w:r>
    </w:p>
    <w:p>
      <w:pPr>
        <w:pStyle w:val="Normal.0"/>
        <w:jc w:val="both"/>
        <w:rPr>
          <w:sz w:val="24"/>
          <w:szCs w:val="24"/>
        </w:rPr>
      </w:pPr>
      <w:r>
        <w:rPr>
          <w:sz w:val="24"/>
          <w:szCs w:val="24"/>
        </w:rPr>
        <w:tab/>
        <w:tab/>
        <w:tab/>
        <w:tab/>
        <w:tab/>
        <w:tab/>
        <w:tab/>
        <w:tab/>
        <w:tab/>
        <w:tab/>
        <w:tab/>
      </w:r>
    </w:p>
    <w:p>
      <w:pPr>
        <w:pStyle w:val="Normal.0"/>
        <w:jc w:val="both"/>
        <w:rPr>
          <w:b w:val="1"/>
          <w:bCs w:val="1"/>
          <w:sz w:val="24"/>
          <w:szCs w:val="24"/>
        </w:rPr>
      </w:pPr>
      <w:r>
        <w:rPr>
          <w:b w:val="1"/>
          <w:bCs w:val="1"/>
          <w:sz w:val="24"/>
          <w:szCs w:val="24"/>
          <w:rtl w:val="0"/>
          <w:lang w:val="en-US"/>
        </w:rPr>
        <w:t>Perspectives</w:t>
      </w:r>
    </w:p>
    <w:p>
      <w:pPr>
        <w:pStyle w:val="Normal.0"/>
        <w:jc w:val="both"/>
        <w:rPr>
          <w:sz w:val="24"/>
          <w:szCs w:val="24"/>
        </w:rPr>
      </w:pPr>
      <w:r>
        <w:rPr>
          <w:sz w:val="24"/>
          <w:szCs w:val="24"/>
          <w:rtl w:val="0"/>
          <w:lang w:val="en-US"/>
        </w:rPr>
        <w:t xml:space="preserve">The research presented here is still at its very initial stage; yet, we have attempted to set out the research framework and guidelines to move further. The methodology we are trying to prescribe could produce a decoding of the social dynamics linked to the landscape properties during certain periods: </w:t>
      </w:r>
      <w:r>
        <w:rPr>
          <w:i w:val="1"/>
          <w:iCs w:val="1"/>
          <w:sz w:val="24"/>
          <w:szCs w:val="24"/>
          <w:rtl w:val="0"/>
          <w:lang w:val="en-US"/>
        </w:rPr>
        <w:t xml:space="preserve">poletae </w:t>
      </w:r>
      <w:r>
        <w:rPr>
          <w:sz w:val="24"/>
          <w:szCs w:val="24"/>
          <w:rtl w:val="0"/>
          <w:lang w:val="en-US"/>
        </w:rPr>
        <w:t>records refer to the second half of the 4th cent.</w:t>
      </w:r>
      <w:r>
        <w:rPr>
          <w:sz w:val="24"/>
          <w:szCs w:val="24"/>
          <w:vertAlign w:val="superscript"/>
          <w:rtl w:val="0"/>
          <w:lang w:val="en-US"/>
        </w:rPr>
        <w:t xml:space="preserve"> </w:t>
      </w:r>
      <w:r>
        <w:rPr>
          <w:sz w:val="24"/>
          <w:szCs w:val="24"/>
          <w:rtl w:val="0"/>
          <w:lang w:val="en-US"/>
        </w:rPr>
        <w:t xml:space="preserve">BCE; other inscriptions from the area, such as those of the </w:t>
      </w:r>
      <w:r>
        <w:rPr>
          <w:i w:val="1"/>
          <w:iCs w:val="1"/>
          <w:sz w:val="24"/>
          <w:szCs w:val="24"/>
          <w:rtl w:val="0"/>
          <w:lang w:val="en-US"/>
        </w:rPr>
        <w:t>Salaminioi</w:t>
      </w:r>
      <w:r>
        <w:rPr>
          <w:sz w:val="24"/>
          <w:szCs w:val="24"/>
          <w:rtl w:val="0"/>
          <w:lang w:val="en-US"/>
        </w:rPr>
        <w:t xml:space="preserve"> move forward to the 3rd  cent. BCE</w:t>
      </w:r>
      <w:r>
        <w:rPr>
          <w:sz w:val="24"/>
          <w:szCs w:val="24"/>
          <w:vertAlign w:val="superscript"/>
        </w:rPr>
        <w:footnoteReference w:id="16"/>
      </w:r>
      <w:r>
        <w:rPr>
          <w:sz w:val="24"/>
          <w:szCs w:val="24"/>
          <w:rtl w:val="0"/>
          <w:lang w:val="en-US"/>
        </w:rPr>
        <w:t>, while those of the sacrificial calendars expand the scope both earlier and later</w:t>
      </w:r>
      <w:r>
        <w:rPr>
          <w:sz w:val="24"/>
          <w:szCs w:val="24"/>
          <w:vertAlign w:val="superscript"/>
        </w:rPr>
        <w:footnoteReference w:id="17"/>
      </w:r>
      <w:r>
        <w:rPr>
          <w:sz w:val="24"/>
          <w:szCs w:val="24"/>
          <w:rtl w:val="0"/>
          <w:lang w:val="en-US"/>
        </w:rPr>
        <w:t xml:space="preserve">. At this cross-road where the conjectural socioeconomic pattern of a certain community is perceived by agents-members of this community and implemented in the long-term dynamics of the landscape, we may also be able to unlock the understanding of further principles which structure ancient mental maps as intrinsic elements of the collective ideology of an ancient community, that is, its mentality.  </w:t>
      </w:r>
    </w:p>
    <w:p>
      <w:pPr>
        <w:pStyle w:val="Normal.0"/>
      </w:pPr>
      <w:r>
        <w:rPr>
          <w:rFonts w:ascii="Arial Unicode MS" w:cs="Arial Unicode MS" w:hAnsi="Arial Unicode MS" w:eastAsia="Arial Unicode MS"/>
          <w:b w:val="0"/>
          <w:bCs w:val="0"/>
          <w:i w:val="0"/>
          <w:iCs w:val="0"/>
          <w:sz w:val="24"/>
          <w:szCs w:val="24"/>
        </w:rPr>
        <w:br w:type="page"/>
      </w:r>
    </w:p>
    <w:p>
      <w:pPr>
        <w:pStyle w:val="Normal.0"/>
        <w:spacing w:before="20"/>
        <w:ind w:right="30"/>
        <w:jc w:val="both"/>
        <w:rPr>
          <w:sz w:val="24"/>
          <w:szCs w:val="24"/>
        </w:rPr>
      </w:pPr>
    </w:p>
    <w:p>
      <w:pPr>
        <w:pStyle w:val="Normal.0"/>
        <w:spacing w:before="20"/>
        <w:jc w:val="both"/>
        <w:rPr>
          <w:b w:val="1"/>
          <w:bCs w:val="1"/>
          <w:sz w:val="24"/>
          <w:szCs w:val="24"/>
        </w:rPr>
      </w:pPr>
    </w:p>
    <w:p>
      <w:pPr>
        <w:pStyle w:val="Normal.0"/>
        <w:spacing w:before="20"/>
        <w:jc w:val="both"/>
        <w:rPr>
          <w:b w:val="1"/>
          <w:bCs w:val="1"/>
          <w:sz w:val="24"/>
          <w:szCs w:val="24"/>
        </w:rPr>
      </w:pPr>
      <w:r>
        <w:rPr>
          <w:b w:val="1"/>
          <w:bCs w:val="1"/>
          <w:sz w:val="24"/>
          <w:szCs w:val="24"/>
          <w:rtl w:val="0"/>
          <w:lang w:val="en-US"/>
        </w:rPr>
        <w:t>References</w:t>
      </w:r>
    </w:p>
    <w:p>
      <w:pPr>
        <w:pStyle w:val="Normal.0"/>
        <w:spacing w:before="20"/>
        <w:jc w:val="both"/>
        <w:rPr>
          <w:sz w:val="24"/>
          <w:szCs w:val="24"/>
        </w:rPr>
      </w:pPr>
    </w:p>
    <w:p>
      <w:pPr>
        <w:pStyle w:val="Normal.0"/>
        <w:jc w:val="both"/>
        <w:rPr>
          <w:sz w:val="24"/>
          <w:szCs w:val="24"/>
        </w:rPr>
      </w:pPr>
      <w:r>
        <w:rPr>
          <w:smallCaps w:val="1"/>
          <w:sz w:val="24"/>
          <w:szCs w:val="24"/>
          <w:rtl w:val="0"/>
          <w:lang w:val="en-US"/>
        </w:rPr>
        <w:t>A</w:t>
      </w:r>
      <w:r>
        <w:rPr>
          <w:sz w:val="24"/>
          <w:szCs w:val="24"/>
          <w:rtl w:val="0"/>
          <w:lang w:val="en-US"/>
        </w:rPr>
        <w:t>perghis</w:t>
      </w:r>
      <w:r>
        <w:rPr>
          <w:smallCaps w:val="1"/>
          <w:sz w:val="24"/>
          <w:szCs w:val="24"/>
          <w:rtl w:val="0"/>
          <w:lang w:val="en-US"/>
        </w:rPr>
        <w:t xml:space="preserve"> 1998: G.G. A</w:t>
      </w:r>
      <w:r>
        <w:rPr>
          <w:sz w:val="24"/>
          <w:szCs w:val="24"/>
          <w:rtl w:val="0"/>
          <w:lang w:val="en-US"/>
        </w:rPr>
        <w:t>perghis,</w:t>
      </w:r>
      <w:r>
        <w:rPr>
          <w:smallCaps w:val="1"/>
          <w:sz w:val="24"/>
          <w:szCs w:val="24"/>
          <w:rtl w:val="0"/>
          <w:lang w:val="en-US"/>
        </w:rPr>
        <w:t xml:space="preserve"> </w:t>
      </w:r>
      <w:r>
        <w:rPr>
          <w:i w:val="1"/>
          <w:iCs w:val="1"/>
          <w:sz w:val="24"/>
          <w:szCs w:val="24"/>
          <w:rtl w:val="0"/>
          <w:lang w:val="en-US"/>
        </w:rPr>
        <w:t>A reassessment of the Laurion mining lease records</w:t>
      </w:r>
      <w:r>
        <w:rPr>
          <w:sz w:val="24"/>
          <w:szCs w:val="24"/>
          <w:rtl w:val="0"/>
          <w:lang w:val="en-US"/>
        </w:rPr>
        <w:t>,</w:t>
      </w:r>
      <w:r>
        <w:rPr>
          <w:sz w:val="24"/>
          <w:szCs w:val="24"/>
          <w:rtl w:val="0"/>
          <w:lang w:val="en-US"/>
        </w:rPr>
        <w:t> «</w:t>
      </w:r>
      <w:r>
        <w:rPr>
          <w:sz w:val="24"/>
          <w:szCs w:val="24"/>
          <w:rtl w:val="0"/>
          <w:lang w:val="en-US"/>
        </w:rPr>
        <w:t>Bulletin of the Institute of Classical Studies</w:t>
      </w:r>
      <w:r>
        <w:rPr>
          <w:sz w:val="24"/>
          <w:szCs w:val="24"/>
          <w:rtl w:val="0"/>
          <w:lang w:val="en-US"/>
        </w:rPr>
        <w:t>»</w:t>
      </w:r>
      <w:r>
        <w:rPr>
          <w:sz w:val="24"/>
          <w:szCs w:val="24"/>
          <w:rtl w:val="0"/>
          <w:lang w:val="en-US"/>
        </w:rPr>
        <w:t>,</w:t>
      </w:r>
      <w:r>
        <w:rPr>
          <w:sz w:val="24"/>
          <w:szCs w:val="24"/>
          <w:rtl w:val="0"/>
          <w:lang w:val="en-US"/>
        </w:rPr>
        <w:t> </w:t>
      </w:r>
      <w:r>
        <w:rPr>
          <w:sz w:val="24"/>
          <w:szCs w:val="24"/>
          <w:rtl w:val="0"/>
          <w:lang w:val="en-US"/>
        </w:rPr>
        <w:t>42(1), 1-20.</w:t>
      </w:r>
    </w:p>
    <w:p>
      <w:pPr>
        <w:pStyle w:val="Normal.0"/>
        <w:ind w:right="30"/>
        <w:jc w:val="both"/>
        <w:rPr>
          <w:sz w:val="24"/>
          <w:szCs w:val="24"/>
        </w:rPr>
      </w:pPr>
      <w:r>
        <w:rPr>
          <w:smallCaps w:val="1"/>
          <w:sz w:val="24"/>
          <w:szCs w:val="24"/>
          <w:rtl w:val="0"/>
          <w:lang w:val="en-US"/>
        </w:rPr>
        <w:t>B</w:t>
      </w:r>
      <w:r>
        <w:rPr>
          <w:sz w:val="24"/>
          <w:szCs w:val="24"/>
          <w:rtl w:val="0"/>
          <w:lang w:val="en-US"/>
        </w:rPr>
        <w:t xml:space="preserve">athe 1976: K.J. </w:t>
      </w:r>
      <w:r>
        <w:rPr>
          <w:smallCaps w:val="1"/>
          <w:sz w:val="24"/>
          <w:szCs w:val="24"/>
          <w:rtl w:val="0"/>
          <w:lang w:val="en-US"/>
        </w:rPr>
        <w:t>B</w:t>
      </w:r>
      <w:r>
        <w:rPr>
          <w:sz w:val="24"/>
          <w:szCs w:val="24"/>
          <w:rtl w:val="0"/>
          <w:lang w:val="en-US"/>
        </w:rPr>
        <w:t xml:space="preserve">athe, </w:t>
      </w:r>
      <w:r>
        <w:rPr>
          <w:i w:val="1"/>
          <w:iCs w:val="1"/>
          <w:sz w:val="24"/>
          <w:szCs w:val="24"/>
          <w:rtl w:val="0"/>
          <w:lang w:val="en-US"/>
        </w:rPr>
        <w:t>Numerical methods in finite element analysis</w:t>
      </w:r>
      <w:r>
        <w:rPr>
          <w:sz w:val="24"/>
          <w:szCs w:val="24"/>
          <w:rtl w:val="0"/>
          <w:lang w:val="en-US"/>
        </w:rPr>
        <w:t>, Prentice-Hall.</w:t>
      </w:r>
    </w:p>
    <w:p>
      <w:pPr>
        <w:pStyle w:val="Normal.0"/>
        <w:jc w:val="both"/>
        <w:rPr>
          <w:sz w:val="24"/>
          <w:szCs w:val="24"/>
        </w:rPr>
      </w:pPr>
      <w:r>
        <w:rPr>
          <w:smallCaps w:val="1"/>
          <w:sz w:val="24"/>
          <w:szCs w:val="24"/>
          <w:rtl w:val="0"/>
          <w:lang w:val="en-US"/>
        </w:rPr>
        <w:t>B</w:t>
      </w:r>
      <w:r>
        <w:rPr>
          <w:sz w:val="24"/>
          <w:szCs w:val="24"/>
          <w:rtl w:val="0"/>
          <w:lang w:val="en-US"/>
        </w:rPr>
        <w:t xml:space="preserve">issa 2008: E. M. </w:t>
      </w:r>
      <w:r>
        <w:rPr>
          <w:smallCaps w:val="1"/>
          <w:sz w:val="24"/>
          <w:szCs w:val="24"/>
          <w:rtl w:val="0"/>
          <w:lang w:val="en-US"/>
        </w:rPr>
        <w:t>B</w:t>
      </w:r>
      <w:r>
        <w:rPr>
          <w:sz w:val="24"/>
          <w:szCs w:val="24"/>
          <w:rtl w:val="0"/>
          <w:lang w:val="en-US"/>
        </w:rPr>
        <w:t xml:space="preserve">issa, </w:t>
      </w:r>
      <w:r>
        <w:rPr>
          <w:i w:val="1"/>
          <w:iCs w:val="1"/>
          <w:sz w:val="24"/>
          <w:szCs w:val="24"/>
          <w:rtl w:val="0"/>
          <w:lang w:val="en-US"/>
        </w:rPr>
        <w:t>Investment patterns in the Laurion mining industry in the fourth century BCE</w:t>
      </w:r>
      <w:r>
        <w:rPr>
          <w:sz w:val="24"/>
          <w:szCs w:val="24"/>
          <w:rtl w:val="0"/>
          <w:lang w:val="en-US"/>
        </w:rPr>
        <w:t>,</w:t>
      </w:r>
      <w:r>
        <w:rPr>
          <w:sz w:val="24"/>
          <w:szCs w:val="24"/>
          <w:rtl w:val="0"/>
          <w:lang w:val="en-US"/>
        </w:rPr>
        <w:t> «</w:t>
      </w:r>
      <w:r>
        <w:rPr>
          <w:sz w:val="24"/>
          <w:szCs w:val="24"/>
          <w:rtl w:val="0"/>
          <w:lang w:val="en-US"/>
        </w:rPr>
        <w:t>Historia: Zeitschrift f</w:t>
      </w:r>
      <w:r>
        <w:rPr>
          <w:sz w:val="24"/>
          <w:szCs w:val="24"/>
          <w:rtl w:val="0"/>
          <w:lang w:val="en-US"/>
        </w:rPr>
        <w:t>ü</w:t>
      </w:r>
      <w:r>
        <w:rPr>
          <w:sz w:val="24"/>
          <w:szCs w:val="24"/>
          <w:rtl w:val="0"/>
          <w:lang w:val="en-US"/>
        </w:rPr>
        <w:t>r Alte Geschichte</w:t>
      </w:r>
      <w:r>
        <w:rPr>
          <w:sz w:val="24"/>
          <w:szCs w:val="24"/>
          <w:rtl w:val="0"/>
          <w:lang w:val="en-US"/>
        </w:rPr>
        <w:t>»</w:t>
      </w:r>
      <w:r>
        <w:rPr>
          <w:sz w:val="24"/>
          <w:szCs w:val="24"/>
          <w:rtl w:val="0"/>
          <w:lang w:val="en-US"/>
        </w:rPr>
        <w:t>, H. 3, 263-273.</w:t>
      </w:r>
    </w:p>
    <w:p>
      <w:pPr>
        <w:pStyle w:val="Normal.0"/>
        <w:jc w:val="both"/>
        <w:rPr>
          <w:sz w:val="24"/>
          <w:szCs w:val="24"/>
        </w:rPr>
      </w:pPr>
      <w:r>
        <w:rPr>
          <w:sz w:val="24"/>
          <w:szCs w:val="24"/>
          <w:rtl w:val="0"/>
          <w:lang w:val="en-US"/>
        </w:rPr>
        <w:t xml:space="preserve">Bowden </w:t>
      </w:r>
      <w:r>
        <w:rPr>
          <w:sz w:val="24"/>
          <w:szCs w:val="24"/>
          <w:rtl w:val="0"/>
          <w:lang w:val="en-US"/>
        </w:rPr>
        <w:t xml:space="preserve">– </w:t>
      </w:r>
      <w:r>
        <w:rPr>
          <w:smallCaps w:val="1"/>
          <w:sz w:val="24"/>
          <w:szCs w:val="24"/>
          <w:rtl w:val="0"/>
          <w:lang w:val="en-US"/>
        </w:rPr>
        <w:t>L</w:t>
      </w:r>
      <w:r>
        <w:rPr>
          <w:sz w:val="24"/>
          <w:szCs w:val="24"/>
          <w:rtl w:val="0"/>
          <w:lang w:val="en-US"/>
        </w:rPr>
        <w:t xml:space="preserve">owenthal 1975: M. J. Bowden </w:t>
      </w:r>
      <w:r>
        <w:rPr>
          <w:sz w:val="24"/>
          <w:szCs w:val="24"/>
          <w:rtl w:val="0"/>
          <w:lang w:val="en-US"/>
        </w:rPr>
        <w:t xml:space="preserve">–  </w:t>
      </w:r>
      <w:r>
        <w:rPr>
          <w:sz w:val="24"/>
          <w:szCs w:val="24"/>
          <w:rtl w:val="0"/>
          <w:lang w:val="en-US"/>
        </w:rPr>
        <w:t xml:space="preserve">D. </w:t>
      </w:r>
      <w:r>
        <w:rPr>
          <w:smallCaps w:val="1"/>
          <w:sz w:val="24"/>
          <w:szCs w:val="24"/>
          <w:rtl w:val="0"/>
          <w:lang w:val="en-US"/>
        </w:rPr>
        <w:t>L</w:t>
      </w:r>
      <w:r>
        <w:rPr>
          <w:sz w:val="24"/>
          <w:szCs w:val="24"/>
          <w:rtl w:val="0"/>
          <w:lang w:val="en-US"/>
        </w:rPr>
        <w:t xml:space="preserve">owenthal (eds.), </w:t>
      </w:r>
      <w:r>
        <w:rPr>
          <w:i w:val="1"/>
          <w:iCs w:val="1"/>
          <w:sz w:val="24"/>
          <w:szCs w:val="24"/>
          <w:rtl w:val="0"/>
          <w:lang w:val="en-US"/>
        </w:rPr>
        <w:t>Geographies of the mind</w:t>
      </w:r>
      <w:r>
        <w:rPr>
          <w:sz w:val="24"/>
          <w:szCs w:val="24"/>
          <w:rtl w:val="0"/>
          <w:lang w:val="en-US"/>
        </w:rPr>
        <w:t>, Oxford, Oxford University Press.</w:t>
      </w:r>
    </w:p>
    <w:p>
      <w:pPr>
        <w:pStyle w:val="Normal.0"/>
        <w:jc w:val="both"/>
        <w:rPr>
          <w:sz w:val="24"/>
          <w:szCs w:val="24"/>
        </w:rPr>
      </w:pPr>
      <w:r>
        <w:rPr>
          <w:sz w:val="24"/>
          <w:szCs w:val="24"/>
          <w:rtl w:val="0"/>
          <w:lang w:val="en-US"/>
        </w:rPr>
        <w:t xml:space="preserve">Crosby M. 1941: M. Crosby, </w:t>
      </w:r>
      <w:r>
        <w:rPr>
          <w:i w:val="1"/>
          <w:iCs w:val="1"/>
          <w:sz w:val="24"/>
          <w:szCs w:val="24"/>
          <w:rtl w:val="0"/>
          <w:lang w:val="en-US"/>
        </w:rPr>
        <w:t>Greek inscriptions: a poletai record of the year 367/6</w:t>
      </w:r>
      <w:r>
        <w:rPr>
          <w:sz w:val="24"/>
          <w:szCs w:val="24"/>
          <w:rtl w:val="0"/>
          <w:lang w:val="en-US"/>
        </w:rPr>
        <w:t xml:space="preserve">, </w:t>
      </w:r>
      <w:r>
        <w:rPr>
          <w:sz w:val="24"/>
          <w:szCs w:val="24"/>
          <w:rtl w:val="0"/>
          <w:lang w:val="en-US"/>
        </w:rPr>
        <w:t>«</w:t>
      </w:r>
      <w:r>
        <w:rPr>
          <w:sz w:val="24"/>
          <w:szCs w:val="24"/>
          <w:rtl w:val="0"/>
          <w:lang w:val="en-US"/>
        </w:rPr>
        <w:t>Hesperia</w:t>
      </w:r>
      <w:r>
        <w:rPr>
          <w:sz w:val="24"/>
          <w:szCs w:val="24"/>
          <w:rtl w:val="0"/>
          <w:lang w:val="en-US"/>
        </w:rPr>
        <w:t xml:space="preserve">» </w:t>
      </w:r>
      <w:r>
        <w:rPr>
          <w:sz w:val="24"/>
          <w:szCs w:val="24"/>
          <w:rtl w:val="0"/>
          <w:lang w:val="en-US"/>
        </w:rPr>
        <w:t xml:space="preserve">10, 14-30. </w:t>
      </w:r>
    </w:p>
    <w:p>
      <w:pPr>
        <w:pStyle w:val="Normal.0"/>
        <w:jc w:val="both"/>
        <w:rPr>
          <w:sz w:val="24"/>
          <w:szCs w:val="24"/>
        </w:rPr>
      </w:pPr>
      <w:r>
        <w:rPr>
          <w:sz w:val="24"/>
          <w:szCs w:val="24"/>
          <w:rtl w:val="0"/>
          <w:lang w:val="en-US"/>
        </w:rPr>
        <w:t xml:space="preserve">Crosby M. 195: M. Crosby, </w:t>
      </w:r>
      <w:r>
        <w:rPr>
          <w:i w:val="1"/>
          <w:iCs w:val="1"/>
          <w:sz w:val="24"/>
          <w:szCs w:val="24"/>
          <w:rtl w:val="0"/>
          <w:lang w:val="en-US"/>
        </w:rPr>
        <w:t>The leases of the Laurion mines</w:t>
      </w:r>
      <w:r>
        <w:rPr>
          <w:sz w:val="24"/>
          <w:szCs w:val="24"/>
          <w:rtl w:val="0"/>
          <w:lang w:val="en-US"/>
        </w:rPr>
        <w:t xml:space="preserve">, </w:t>
      </w:r>
      <w:r>
        <w:rPr>
          <w:sz w:val="24"/>
          <w:szCs w:val="24"/>
          <w:rtl w:val="0"/>
          <w:lang w:val="en-US"/>
        </w:rPr>
        <w:t>«</w:t>
      </w:r>
      <w:r>
        <w:rPr>
          <w:sz w:val="24"/>
          <w:szCs w:val="24"/>
          <w:rtl w:val="0"/>
          <w:lang w:val="en-US"/>
        </w:rPr>
        <w:t>Hesperia</w:t>
      </w:r>
      <w:r>
        <w:rPr>
          <w:sz w:val="24"/>
          <w:szCs w:val="24"/>
          <w:rtl w:val="0"/>
          <w:lang w:val="en-US"/>
        </w:rPr>
        <w:t>»</w:t>
      </w:r>
      <w:r>
        <w:rPr>
          <w:sz w:val="24"/>
          <w:szCs w:val="24"/>
          <w:rtl w:val="0"/>
          <w:lang w:val="en-US"/>
        </w:rPr>
        <w:t>19, 189-312.</w:t>
      </w:r>
    </w:p>
    <w:p>
      <w:pPr>
        <w:pStyle w:val="Normal.0"/>
        <w:jc w:val="both"/>
        <w:rPr>
          <w:sz w:val="24"/>
          <w:szCs w:val="24"/>
        </w:rPr>
      </w:pPr>
      <w:r>
        <w:rPr>
          <w:sz w:val="24"/>
          <w:szCs w:val="24"/>
          <w:rtl w:val="0"/>
          <w:lang w:val="en-US"/>
        </w:rPr>
        <w:t xml:space="preserve">Crosby M. 1957: M. Crosby, </w:t>
      </w:r>
      <w:r>
        <w:rPr>
          <w:i w:val="1"/>
          <w:iCs w:val="1"/>
          <w:sz w:val="24"/>
          <w:szCs w:val="24"/>
          <w:rtl w:val="0"/>
          <w:lang w:val="en-US"/>
        </w:rPr>
        <w:t>More fragments of mining leases from the Athenian agora</w:t>
      </w:r>
      <w:r>
        <w:rPr>
          <w:sz w:val="24"/>
          <w:szCs w:val="24"/>
          <w:rtl w:val="0"/>
          <w:lang w:val="en-US"/>
        </w:rPr>
        <w:t xml:space="preserve">, </w:t>
      </w:r>
      <w:r>
        <w:rPr>
          <w:sz w:val="24"/>
          <w:szCs w:val="24"/>
          <w:rtl w:val="0"/>
          <w:lang w:val="en-US"/>
        </w:rPr>
        <w:t>«</w:t>
      </w:r>
      <w:r>
        <w:rPr>
          <w:sz w:val="24"/>
          <w:szCs w:val="24"/>
          <w:rtl w:val="0"/>
          <w:lang w:val="en-US"/>
        </w:rPr>
        <w:t>Hesperia</w:t>
      </w:r>
      <w:r>
        <w:rPr>
          <w:sz w:val="24"/>
          <w:szCs w:val="24"/>
          <w:rtl w:val="0"/>
          <w:lang w:val="en-US"/>
        </w:rPr>
        <w:t>»</w:t>
      </w:r>
      <w:r>
        <w:rPr>
          <w:sz w:val="24"/>
          <w:szCs w:val="24"/>
          <w:rtl w:val="0"/>
          <w:lang w:val="en-US"/>
        </w:rPr>
        <w:t>19, 189-312.</w:t>
      </w:r>
    </w:p>
    <w:p>
      <w:pPr>
        <w:pStyle w:val="Normal.0"/>
        <w:jc w:val="both"/>
        <w:rPr>
          <w:sz w:val="24"/>
          <w:szCs w:val="24"/>
        </w:rPr>
      </w:pPr>
      <w:r>
        <w:rPr>
          <w:sz w:val="24"/>
          <w:szCs w:val="24"/>
          <w:rtl w:val="0"/>
          <w:lang w:val="fr-FR"/>
        </w:rPr>
        <w:t>Daux 1980</w:t>
      </w:r>
      <w:r>
        <w:rPr>
          <w:sz w:val="24"/>
          <w:szCs w:val="24"/>
          <w:rtl w:val="0"/>
          <w:lang w:val="fr-FR"/>
        </w:rPr>
        <w:t> </w:t>
      </w:r>
      <w:r>
        <w:rPr>
          <w:sz w:val="24"/>
          <w:szCs w:val="24"/>
          <w:rtl w:val="0"/>
          <w:lang w:val="fr-FR"/>
        </w:rPr>
        <w:t xml:space="preserve">: G. Daux, </w:t>
      </w:r>
      <w:r>
        <w:rPr>
          <w:i w:val="1"/>
          <w:iCs w:val="1"/>
          <w:sz w:val="24"/>
          <w:szCs w:val="24"/>
          <w:rtl w:val="0"/>
          <w:lang w:val="fr-FR"/>
        </w:rPr>
        <w:t>Recherches pr</w:t>
      </w:r>
      <w:r>
        <w:rPr>
          <w:i w:val="1"/>
          <w:iCs w:val="1"/>
          <w:sz w:val="24"/>
          <w:szCs w:val="24"/>
          <w:rtl w:val="0"/>
          <w:lang w:val="fr-FR"/>
        </w:rPr>
        <w:t>é</w:t>
      </w:r>
      <w:r>
        <w:rPr>
          <w:i w:val="1"/>
          <w:iCs w:val="1"/>
          <w:sz w:val="24"/>
          <w:szCs w:val="24"/>
          <w:rtl w:val="0"/>
          <w:lang w:val="fr-FR"/>
        </w:rPr>
        <w:t>liminaires sur le calendrier sacrificiel de Thoricos</w:t>
      </w:r>
      <w:r>
        <w:rPr>
          <w:sz w:val="24"/>
          <w:szCs w:val="24"/>
          <w:rtl w:val="0"/>
          <w:lang w:val="fr-FR"/>
        </w:rPr>
        <w:t xml:space="preserve">, </w:t>
      </w:r>
      <w:r>
        <w:rPr>
          <w:sz w:val="24"/>
          <w:szCs w:val="24"/>
          <w:rtl w:val="0"/>
          <w:lang w:val="en-US"/>
        </w:rPr>
        <w:t>«</w:t>
      </w:r>
      <w:r>
        <w:rPr>
          <w:sz w:val="24"/>
          <w:szCs w:val="24"/>
          <w:rtl w:val="0"/>
          <w:lang w:val="fr-FR"/>
        </w:rPr>
        <w:t>Comptes rendus des s</w:t>
      </w:r>
      <w:r>
        <w:rPr>
          <w:sz w:val="24"/>
          <w:szCs w:val="24"/>
          <w:rtl w:val="0"/>
          <w:lang w:val="fr-FR"/>
        </w:rPr>
        <w:t>é</w:t>
      </w:r>
      <w:r>
        <w:rPr>
          <w:sz w:val="24"/>
          <w:szCs w:val="24"/>
          <w:rtl w:val="0"/>
          <w:lang w:val="fr-FR"/>
        </w:rPr>
        <w:t>ances de l'Acad</w:t>
      </w:r>
      <w:r>
        <w:rPr>
          <w:sz w:val="24"/>
          <w:szCs w:val="24"/>
          <w:rtl w:val="0"/>
          <w:lang w:val="fr-FR"/>
        </w:rPr>
        <w:t>é</w:t>
      </w:r>
      <w:r>
        <w:rPr>
          <w:sz w:val="24"/>
          <w:szCs w:val="24"/>
          <w:rtl w:val="0"/>
          <w:lang w:val="fr-FR"/>
        </w:rPr>
        <w:t>mie des Inscriptions et Belles-Lettre</w:t>
      </w:r>
      <w:r>
        <w:rPr>
          <w:sz w:val="24"/>
          <w:szCs w:val="24"/>
          <w:rtl w:val="0"/>
          <w:lang w:val="en-US"/>
        </w:rPr>
        <w:t>»</w:t>
      </w:r>
      <w:r>
        <w:rPr>
          <w:sz w:val="24"/>
          <w:szCs w:val="24"/>
          <w:rtl w:val="0"/>
          <w:lang w:val="fr-FR"/>
        </w:rPr>
        <w:t xml:space="preserve"> 2, 463-470.</w:t>
      </w:r>
    </w:p>
    <w:p>
      <w:pPr>
        <w:pStyle w:val="Normal.0"/>
        <w:jc w:val="both"/>
        <w:rPr>
          <w:sz w:val="24"/>
          <w:szCs w:val="24"/>
        </w:rPr>
      </w:pPr>
      <w:r>
        <w:rPr>
          <w:sz w:val="24"/>
          <w:szCs w:val="24"/>
          <w:rtl w:val="0"/>
          <w:lang w:val="fr-FR"/>
        </w:rPr>
        <w:t xml:space="preserve">Daux </w:t>
      </w:r>
      <w:r>
        <w:rPr>
          <w:sz w:val="24"/>
          <w:szCs w:val="24"/>
          <w:rtl w:val="0"/>
          <w:lang w:val="en-US"/>
        </w:rPr>
        <w:t xml:space="preserve">1984: </w:t>
      </w:r>
      <w:r>
        <w:rPr>
          <w:sz w:val="24"/>
          <w:szCs w:val="24"/>
          <w:rtl w:val="0"/>
          <w:lang w:val="fr-FR"/>
        </w:rPr>
        <w:t xml:space="preserve">G. Daux, </w:t>
      </w:r>
      <w:r>
        <w:rPr>
          <w:i w:val="1"/>
          <w:iCs w:val="1"/>
          <w:sz w:val="24"/>
          <w:szCs w:val="24"/>
          <w:rtl w:val="0"/>
          <w:lang w:val="en-US"/>
        </w:rPr>
        <w:t xml:space="preserve">Sacrifices </w:t>
      </w:r>
      <w:r>
        <w:rPr>
          <w:i w:val="1"/>
          <w:iCs w:val="1"/>
          <w:sz w:val="24"/>
          <w:szCs w:val="24"/>
          <w:rtl w:val="0"/>
          <w:lang w:val="en-US"/>
        </w:rPr>
        <w:t xml:space="preserve">à </w:t>
      </w:r>
      <w:r>
        <w:rPr>
          <w:i w:val="1"/>
          <w:iCs w:val="1"/>
          <w:sz w:val="24"/>
          <w:szCs w:val="24"/>
          <w:rtl w:val="0"/>
          <w:lang w:val="en-US"/>
        </w:rPr>
        <w:t>Thorikos</w:t>
      </w:r>
      <w:r>
        <w:rPr>
          <w:sz w:val="24"/>
          <w:szCs w:val="24"/>
          <w:rtl w:val="0"/>
          <w:lang w:val="en-US"/>
        </w:rPr>
        <w:t xml:space="preserve">, </w:t>
      </w:r>
      <w:r>
        <w:rPr>
          <w:sz w:val="24"/>
          <w:szCs w:val="24"/>
          <w:rtl w:val="0"/>
          <w:lang w:val="en-US"/>
        </w:rPr>
        <w:t>«</w:t>
      </w:r>
      <w:r>
        <w:rPr>
          <w:sz w:val="24"/>
          <w:szCs w:val="24"/>
          <w:rtl w:val="0"/>
          <w:lang w:val="en-US"/>
        </w:rPr>
        <w:t>The J. Paul Getty Museum Journal</w:t>
      </w:r>
      <w:r>
        <w:rPr>
          <w:sz w:val="24"/>
          <w:szCs w:val="24"/>
          <w:rtl w:val="0"/>
          <w:lang w:val="en-US"/>
        </w:rPr>
        <w:t xml:space="preserve">» </w:t>
      </w:r>
      <w:r>
        <w:rPr>
          <w:sz w:val="24"/>
          <w:szCs w:val="24"/>
          <w:rtl w:val="0"/>
          <w:lang w:val="en-US"/>
        </w:rPr>
        <w:t>12, 145-152.</w:t>
      </w:r>
    </w:p>
    <w:p>
      <w:pPr>
        <w:pStyle w:val="Normal.0"/>
        <w:jc w:val="both"/>
        <w:rPr>
          <w:sz w:val="24"/>
          <w:szCs w:val="24"/>
        </w:rPr>
      </w:pPr>
      <w:r>
        <w:rPr>
          <w:sz w:val="24"/>
          <w:szCs w:val="24"/>
          <w:rtl w:val="0"/>
          <w:lang w:val="en-US"/>
        </w:rPr>
        <w:t xml:space="preserve">Ferguson 1938: W. S. Ferguson, </w:t>
      </w:r>
      <w:r>
        <w:rPr>
          <w:i w:val="1"/>
          <w:iCs w:val="1"/>
          <w:sz w:val="24"/>
          <w:szCs w:val="24"/>
          <w:rtl w:val="0"/>
          <w:lang w:val="en-US"/>
        </w:rPr>
        <w:t>The Salaminioi of Heptaphylai and Sounion</w:t>
      </w:r>
      <w:r>
        <w:rPr>
          <w:sz w:val="24"/>
          <w:szCs w:val="24"/>
          <w:rtl w:val="0"/>
          <w:lang w:val="en-US"/>
        </w:rPr>
        <w:t xml:space="preserve">, </w:t>
      </w:r>
      <w:r>
        <w:rPr>
          <w:sz w:val="24"/>
          <w:szCs w:val="24"/>
          <w:rtl w:val="0"/>
          <w:lang w:val="en-US"/>
        </w:rPr>
        <w:t>«</w:t>
      </w:r>
      <w:r>
        <w:rPr>
          <w:sz w:val="24"/>
          <w:szCs w:val="24"/>
          <w:rtl w:val="0"/>
          <w:lang w:val="en-US"/>
        </w:rPr>
        <w:t>Hesperia</w:t>
      </w:r>
      <w:r>
        <w:rPr>
          <w:sz w:val="24"/>
          <w:szCs w:val="24"/>
          <w:rtl w:val="0"/>
          <w:lang w:val="en-US"/>
        </w:rPr>
        <w:t xml:space="preserve">» </w:t>
      </w:r>
      <w:r>
        <w:rPr>
          <w:sz w:val="24"/>
          <w:szCs w:val="24"/>
          <w:rtl w:val="0"/>
          <w:lang w:val="en-US"/>
        </w:rPr>
        <w:t>7, 1-74.</w:t>
      </w:r>
    </w:p>
    <w:p>
      <w:pPr>
        <w:pStyle w:val="Normal.0"/>
        <w:jc w:val="both"/>
        <w:rPr>
          <w:sz w:val="24"/>
          <w:szCs w:val="24"/>
        </w:rPr>
      </w:pPr>
      <w:r>
        <w:rPr>
          <w:sz w:val="24"/>
          <w:szCs w:val="24"/>
          <w:rtl w:val="0"/>
          <w:lang w:val="en-US"/>
        </w:rPr>
        <w:t xml:space="preserve">Farinetti </w:t>
      </w:r>
      <w:r>
        <w:rPr>
          <w:sz w:val="24"/>
          <w:szCs w:val="24"/>
          <w:rtl w:val="0"/>
          <w:lang w:val="en-US"/>
        </w:rPr>
        <w:t xml:space="preserve">– </w:t>
      </w:r>
      <w:r>
        <w:rPr>
          <w:sz w:val="24"/>
          <w:szCs w:val="24"/>
          <w:rtl w:val="0"/>
          <w:lang w:val="en-US"/>
        </w:rPr>
        <w:t xml:space="preserve">Cavallero 2019: E. Farinetti </w:t>
      </w:r>
      <w:r>
        <w:rPr>
          <w:sz w:val="24"/>
          <w:szCs w:val="24"/>
          <w:rtl w:val="0"/>
          <w:lang w:val="en-US"/>
        </w:rPr>
        <w:t xml:space="preserve">– </w:t>
      </w:r>
      <w:r>
        <w:rPr>
          <w:sz w:val="24"/>
          <w:szCs w:val="24"/>
          <w:rtl w:val="0"/>
          <w:lang w:val="en-US"/>
        </w:rPr>
        <w:t xml:space="preserve">F. Cavallero, </w:t>
      </w:r>
      <w:r>
        <w:rPr>
          <w:i w:val="1"/>
          <w:iCs w:val="1"/>
          <w:sz w:val="24"/>
          <w:szCs w:val="24"/>
          <w:rtl w:val="0"/>
          <w:lang w:val="en-US"/>
        </w:rPr>
        <w:t>Mapping Roman Athens</w:t>
      </w:r>
      <w:r>
        <w:rPr>
          <w:sz w:val="24"/>
          <w:szCs w:val="24"/>
          <w:rtl w:val="0"/>
          <w:lang w:val="en-US"/>
        </w:rPr>
        <w:t xml:space="preserve">, in </w:t>
      </w:r>
      <w:r>
        <w:rPr>
          <w:i w:val="1"/>
          <w:iCs w:val="1"/>
          <w:sz w:val="24"/>
          <w:szCs w:val="24"/>
          <w:rtl w:val="0"/>
          <w:lang w:val="en-US"/>
        </w:rPr>
        <w:t>Spreading Excellence in Computer Applications for Archaeology and Cultural Heritage</w:t>
      </w:r>
      <w:r>
        <w:rPr>
          <w:sz w:val="24"/>
          <w:szCs w:val="24"/>
          <w:rtl w:val="0"/>
          <w:lang w:val="en-US"/>
        </w:rPr>
        <w:t xml:space="preserve"> ed. by P. Kyriakidis, A. Agapiou, V. Lysandrou, </w:t>
      </w:r>
      <w:r>
        <w:rPr>
          <w:rStyle w:val="Hyperlink.0"/>
        </w:rPr>
        <w:fldChar w:fldCharType="begin" w:fldLock="0"/>
      </w:r>
      <w:r>
        <w:rPr>
          <w:rStyle w:val="Hyperlink.0"/>
        </w:rPr>
        <w:instrText xml:space="preserve"> HYPERLINK "https://gr.caa-international.org/wp-content/uploads/sites/26/2019/04/CAA-GR-2018-proceedings.pdf"</w:instrText>
      </w:r>
      <w:r>
        <w:rPr>
          <w:rStyle w:val="Hyperlink.0"/>
        </w:rPr>
        <w:fldChar w:fldCharType="separate" w:fldLock="0"/>
      </w:r>
      <w:r>
        <w:rPr>
          <w:rStyle w:val="Hyperlink.0"/>
          <w:rtl w:val="0"/>
          <w:lang w:val="en-US"/>
        </w:rPr>
        <w:t>https://gr.caa-international.org/wp-content/uploads/sites/26/2019/04/CAA-GR-2018-proceedings.pdf</w:t>
      </w:r>
      <w:r>
        <w:rPr/>
        <w:fldChar w:fldCharType="end" w:fldLock="0"/>
      </w:r>
      <w:r>
        <w:rPr>
          <w:sz w:val="24"/>
          <w:szCs w:val="24"/>
          <w:rtl w:val="0"/>
          <w:lang w:val="en-US"/>
        </w:rPr>
        <w:t xml:space="preserve"> </w:t>
      </w:r>
    </w:p>
    <w:p>
      <w:pPr>
        <w:pStyle w:val="Normal.0"/>
        <w:jc w:val="both"/>
        <w:rPr>
          <w:sz w:val="24"/>
          <w:szCs w:val="24"/>
        </w:rPr>
      </w:pPr>
      <w:r>
        <w:rPr>
          <w:sz w:val="24"/>
          <w:szCs w:val="24"/>
          <w:rtl w:val="0"/>
          <w:lang w:val="en-US"/>
        </w:rPr>
        <w:t xml:space="preserve">Guervich 2008: A. Guervich, </w:t>
      </w:r>
      <w:r>
        <w:rPr>
          <w:i w:val="1"/>
          <w:iCs w:val="1"/>
          <w:sz w:val="24"/>
          <w:szCs w:val="24"/>
          <w:rtl w:val="0"/>
          <w:lang w:val="en-US"/>
        </w:rPr>
        <w:t>Approaches of the 'Annales School'. From the History of Mentalities to Historical Synthesis</w:t>
      </w:r>
      <w:r>
        <w:rPr>
          <w:sz w:val="24"/>
          <w:szCs w:val="24"/>
          <w:rtl w:val="0"/>
          <w:lang w:val="en-US"/>
        </w:rPr>
        <w:t>.</w:t>
      </w:r>
      <w:r>
        <w:rPr>
          <w:sz w:val="24"/>
          <w:szCs w:val="24"/>
          <w:rtl w:val="0"/>
          <w:lang w:val="en-US"/>
        </w:rPr>
        <w:t> </w:t>
      </w:r>
      <w:r>
        <w:rPr>
          <w:sz w:val="24"/>
          <w:szCs w:val="24"/>
          <w:rtl w:val="0"/>
          <w:lang w:val="en-US"/>
        </w:rPr>
        <w:t>Scandia, Tidskriftf</w:t>
      </w:r>
      <w:r>
        <w:rPr>
          <w:sz w:val="24"/>
          <w:szCs w:val="24"/>
          <w:rtl w:val="0"/>
          <w:lang w:val="en-US"/>
        </w:rPr>
        <w:t>ö</w:t>
      </w:r>
      <w:r>
        <w:rPr>
          <w:sz w:val="24"/>
          <w:szCs w:val="24"/>
          <w:rtl w:val="0"/>
          <w:lang w:val="en-US"/>
        </w:rPr>
        <w:t>rhistoriskforskning,</w:t>
      </w:r>
      <w:r>
        <w:rPr>
          <w:sz w:val="24"/>
          <w:szCs w:val="24"/>
          <w:rtl w:val="0"/>
          <w:lang w:val="en-US"/>
        </w:rPr>
        <w:t> </w:t>
      </w:r>
      <w:r>
        <w:rPr>
          <w:sz w:val="24"/>
          <w:szCs w:val="24"/>
          <w:rtl w:val="0"/>
          <w:lang w:val="en-US"/>
        </w:rPr>
        <w:t>58(2).</w:t>
      </w:r>
    </w:p>
    <w:p>
      <w:pPr>
        <w:pStyle w:val="Normal.0"/>
        <w:jc w:val="both"/>
        <w:rPr>
          <w:sz w:val="24"/>
          <w:szCs w:val="24"/>
        </w:rPr>
      </w:pPr>
      <w:r>
        <w:rPr>
          <w:sz w:val="24"/>
          <w:szCs w:val="24"/>
          <w:rtl w:val="0"/>
          <w:lang w:val="en-US"/>
        </w:rPr>
        <w:t xml:space="preserve">Ingold 2000: T. Ingold, </w:t>
      </w:r>
      <w:r>
        <w:rPr>
          <w:i w:val="1"/>
          <w:iCs w:val="1"/>
          <w:sz w:val="24"/>
          <w:szCs w:val="24"/>
          <w:rtl w:val="0"/>
          <w:lang w:val="en-US"/>
        </w:rPr>
        <w:t>The perception of the environment: essays in livelihood, dwelling and skill</w:t>
      </w:r>
      <w:r>
        <w:rPr>
          <w:sz w:val="24"/>
          <w:szCs w:val="24"/>
          <w:rtl w:val="0"/>
          <w:lang w:val="en-US"/>
        </w:rPr>
        <w:t>, London-New York, Routledge.</w:t>
      </w:r>
    </w:p>
    <w:p>
      <w:pPr>
        <w:pStyle w:val="Normal.0"/>
        <w:jc w:val="both"/>
        <w:rPr>
          <w:sz w:val="24"/>
          <w:szCs w:val="24"/>
        </w:rPr>
      </w:pPr>
      <w:r>
        <w:rPr>
          <w:sz w:val="24"/>
          <w:szCs w:val="24"/>
          <w:rtl w:val="0"/>
          <w:lang w:val="en-US"/>
        </w:rPr>
        <w:t xml:space="preserve">Ingold T. 1993: T. Ingold, </w:t>
      </w:r>
      <w:r>
        <w:rPr>
          <w:sz w:val="24"/>
          <w:szCs w:val="24"/>
          <w:rtl w:val="0"/>
          <w:lang w:val="en-US"/>
        </w:rPr>
        <w:t>“</w:t>
      </w:r>
      <w:r>
        <w:rPr>
          <w:sz w:val="24"/>
          <w:szCs w:val="24"/>
          <w:rtl w:val="0"/>
          <w:lang w:val="en-US"/>
        </w:rPr>
        <w:t>The temporality of the landscape</w:t>
      </w:r>
      <w:r>
        <w:rPr>
          <w:sz w:val="24"/>
          <w:szCs w:val="24"/>
          <w:rtl w:val="0"/>
          <w:lang w:val="en-US"/>
        </w:rPr>
        <w:t>”</w:t>
      </w:r>
      <w:r>
        <w:rPr>
          <w:sz w:val="24"/>
          <w:szCs w:val="24"/>
          <w:rtl w:val="0"/>
          <w:lang w:val="en-US"/>
        </w:rPr>
        <w:t xml:space="preserve">, </w:t>
      </w:r>
      <w:r>
        <w:rPr>
          <w:sz w:val="24"/>
          <w:szCs w:val="24"/>
          <w:rtl w:val="0"/>
          <w:lang w:val="en-US"/>
        </w:rPr>
        <w:t>«</w:t>
      </w:r>
      <w:r>
        <w:rPr>
          <w:i w:val="1"/>
          <w:iCs w:val="1"/>
          <w:sz w:val="24"/>
          <w:szCs w:val="24"/>
          <w:rtl w:val="0"/>
          <w:lang w:val="en-US"/>
        </w:rPr>
        <w:t>World Archaeology</w:t>
      </w:r>
      <w:r>
        <w:rPr>
          <w:sz w:val="24"/>
          <w:szCs w:val="24"/>
          <w:rtl w:val="0"/>
          <w:lang w:val="en-US"/>
        </w:rPr>
        <w:t xml:space="preserve">» </w:t>
      </w:r>
      <w:r>
        <w:rPr>
          <w:sz w:val="24"/>
          <w:szCs w:val="24"/>
          <w:rtl w:val="0"/>
          <w:lang w:val="en-US"/>
        </w:rPr>
        <w:t>25:2, 152-174.</w:t>
      </w:r>
    </w:p>
    <w:p>
      <w:pPr>
        <w:pStyle w:val="Normal.0"/>
        <w:jc w:val="both"/>
        <w:rPr>
          <w:sz w:val="24"/>
          <w:szCs w:val="24"/>
        </w:rPr>
      </w:pPr>
      <w:r>
        <w:rPr>
          <w:sz w:val="24"/>
          <w:szCs w:val="24"/>
          <w:rtl w:val="0"/>
          <w:lang w:val="en-US"/>
        </w:rPr>
        <w:t xml:space="preserve">Johnston 1998: R. Johnston, </w:t>
      </w:r>
      <w:r>
        <w:rPr>
          <w:i w:val="1"/>
          <w:iCs w:val="1"/>
          <w:sz w:val="24"/>
          <w:szCs w:val="24"/>
          <w:rtl w:val="0"/>
          <w:lang w:val="en-US"/>
        </w:rPr>
        <w:t>Approaches to the perception of landscape: philosophy, theory, methodology</w:t>
      </w:r>
      <w:r>
        <w:rPr>
          <w:sz w:val="24"/>
          <w:szCs w:val="24"/>
          <w:rtl w:val="0"/>
          <w:lang w:val="en-US"/>
        </w:rPr>
        <w:t xml:space="preserve">, </w:t>
      </w:r>
      <w:r>
        <w:rPr>
          <w:sz w:val="24"/>
          <w:szCs w:val="24"/>
          <w:rtl w:val="0"/>
          <w:lang w:val="en-US"/>
        </w:rPr>
        <w:t>«</w:t>
      </w:r>
      <w:r>
        <w:rPr>
          <w:sz w:val="24"/>
          <w:szCs w:val="24"/>
          <w:rtl w:val="0"/>
          <w:lang w:val="en-US"/>
        </w:rPr>
        <w:t>Archaeological Dialogues</w:t>
      </w:r>
      <w:r>
        <w:rPr>
          <w:sz w:val="24"/>
          <w:szCs w:val="24"/>
          <w:rtl w:val="0"/>
          <w:lang w:val="en-US"/>
        </w:rPr>
        <w:t xml:space="preserve">» </w:t>
      </w:r>
      <w:r>
        <w:rPr>
          <w:sz w:val="24"/>
          <w:szCs w:val="24"/>
          <w:rtl w:val="0"/>
          <w:lang w:val="en-US"/>
        </w:rPr>
        <w:t>5, 54-68.</w:t>
      </w:r>
    </w:p>
    <w:p>
      <w:pPr>
        <w:pStyle w:val="Normal.0"/>
        <w:jc w:val="both"/>
        <w:rPr>
          <w:sz w:val="24"/>
          <w:szCs w:val="24"/>
        </w:rPr>
      </w:pPr>
      <w:r>
        <w:rPr>
          <w:sz w:val="24"/>
          <w:szCs w:val="24"/>
          <w:rtl w:val="0"/>
          <w:lang w:val="en-US"/>
        </w:rPr>
        <w:t xml:space="preserve">Kakavogiannis 2005: E. Kakavogiannis, </w:t>
      </w:r>
      <w:r>
        <w:rPr>
          <w:i w:val="1"/>
          <w:iCs w:val="1"/>
          <w:sz w:val="24"/>
          <w:szCs w:val="24"/>
          <w:rtl w:val="0"/>
          <w:lang w:val="en-US"/>
        </w:rPr>
        <w:t xml:space="preserve">Μέταλλα Εργάσιμα Συγκεχωρημένα </w:t>
      </w:r>
      <w:r>
        <w:rPr>
          <w:i w:val="1"/>
          <w:iCs w:val="1"/>
          <w:sz w:val="24"/>
          <w:szCs w:val="24"/>
          <w:rtl w:val="0"/>
          <w:lang w:val="en-US"/>
        </w:rPr>
        <w:t xml:space="preserve">(The organisation  of the exploitation of  the Lavreotiki ores by the Athenian Democracy), </w:t>
      </w:r>
      <w:r>
        <w:rPr>
          <w:sz w:val="24"/>
          <w:szCs w:val="24"/>
          <w:rtl w:val="0"/>
          <w:lang w:val="en-US"/>
        </w:rPr>
        <w:t>Dhemosieumata Archaeologikou Dheltiou 90, Athens, Ministry of Culture.</w:t>
      </w:r>
    </w:p>
    <w:p>
      <w:pPr>
        <w:pStyle w:val="Normal.0"/>
        <w:jc w:val="both"/>
        <w:rPr>
          <w:sz w:val="24"/>
          <w:szCs w:val="24"/>
        </w:rPr>
      </w:pPr>
      <w:r>
        <w:rPr>
          <w:sz w:val="24"/>
          <w:szCs w:val="24"/>
          <w:rtl w:val="0"/>
          <w:lang w:val="en-US"/>
        </w:rPr>
        <w:t xml:space="preserve">Kapetanios A. 2013: A. Kapetanios, </w:t>
      </w:r>
      <w:r>
        <w:rPr>
          <w:sz w:val="24"/>
          <w:szCs w:val="24"/>
          <w:rtl w:val="0"/>
          <w:lang w:val="en-US"/>
        </w:rPr>
        <w:t xml:space="preserve">Ο χώρος και οι άνθρωποι στην αρχαία τοπογραφία της Λαυρειοτικής </w:t>
      </w:r>
      <w:r>
        <w:rPr>
          <w:i w:val="1"/>
          <w:iCs w:val="1"/>
          <w:sz w:val="24"/>
          <w:szCs w:val="24"/>
          <w:rtl w:val="0"/>
          <w:lang w:val="en-US"/>
        </w:rPr>
        <w:t>(Space and people in the ancient topography of Lavrion),</w:t>
      </w:r>
      <w:r>
        <w:rPr>
          <w:sz w:val="24"/>
          <w:szCs w:val="24"/>
          <w:rtl w:val="0"/>
          <w:lang w:val="en-US"/>
        </w:rPr>
        <w:t xml:space="preserve"> in </w:t>
      </w:r>
      <w:r>
        <w:rPr>
          <w:i w:val="1"/>
          <w:iCs w:val="1"/>
          <w:sz w:val="24"/>
          <w:szCs w:val="24"/>
          <w:rtl w:val="0"/>
          <w:lang w:val="en-US"/>
        </w:rPr>
        <w:t>Archaeological Contributions, Vol. A</w:t>
      </w:r>
      <w:r>
        <w:rPr>
          <w:i w:val="1"/>
          <w:iCs w:val="1"/>
          <w:sz w:val="24"/>
          <w:szCs w:val="24"/>
          <w:rtl w:val="0"/>
          <w:lang w:val="en-US"/>
        </w:rPr>
        <w:t>’</w:t>
      </w:r>
      <w:r>
        <w:rPr>
          <w:i w:val="1"/>
          <w:iCs w:val="1"/>
          <w:sz w:val="24"/>
          <w:szCs w:val="24"/>
          <w:rtl w:val="0"/>
          <w:lang w:val="en-US"/>
        </w:rPr>
        <w:t>: Attica</w:t>
      </w:r>
      <w:r>
        <w:rPr>
          <w:sz w:val="24"/>
          <w:szCs w:val="24"/>
          <w:rtl w:val="0"/>
          <w:lang w:val="en-US"/>
        </w:rPr>
        <w:t>, Museum of Cycladic Art, Athens, 183-198.</w:t>
      </w:r>
    </w:p>
    <w:p>
      <w:pPr>
        <w:pStyle w:val="Normal.0"/>
        <w:jc w:val="both"/>
        <w:rPr>
          <w:sz w:val="24"/>
          <w:szCs w:val="24"/>
        </w:rPr>
      </w:pPr>
      <w:r>
        <w:rPr>
          <w:sz w:val="24"/>
          <w:szCs w:val="24"/>
          <w:rtl w:val="0"/>
          <w:lang w:val="en-US"/>
        </w:rPr>
        <w:t xml:space="preserve">Langdon M.K. 1991: M.K. Langdon, </w:t>
      </w:r>
      <w:r>
        <w:rPr>
          <w:i w:val="1"/>
          <w:iCs w:val="1"/>
          <w:sz w:val="24"/>
          <w:szCs w:val="24"/>
          <w:rtl w:val="0"/>
          <w:lang w:val="en-US"/>
        </w:rPr>
        <w:t>Poletai Records</w:t>
      </w:r>
      <w:r>
        <w:rPr>
          <w:sz w:val="24"/>
          <w:szCs w:val="24"/>
          <w:rtl w:val="0"/>
          <w:lang w:val="en-US"/>
        </w:rPr>
        <w:t xml:space="preserve">, in </w:t>
      </w:r>
      <w:r>
        <w:rPr>
          <w:i w:val="1"/>
          <w:iCs w:val="1"/>
          <w:sz w:val="24"/>
          <w:szCs w:val="24"/>
          <w:rtl w:val="0"/>
          <w:lang w:val="en-US"/>
        </w:rPr>
        <w:t>The Athenian Agora XIX. Inscriptions. Horoi. Poletai records. Leases of public land</w:t>
      </w:r>
      <w:r>
        <w:rPr>
          <w:sz w:val="24"/>
          <w:szCs w:val="24"/>
          <w:rtl w:val="0"/>
          <w:lang w:val="en-US"/>
        </w:rPr>
        <w:t>, ed. by G.V. Lalonde, M.K. Langdon, M.B. Walbank, Princeton, 53-143.</w:t>
      </w:r>
    </w:p>
    <w:p>
      <w:pPr>
        <w:pStyle w:val="Normal.0"/>
        <w:jc w:val="both"/>
        <w:rPr>
          <w:sz w:val="24"/>
          <w:szCs w:val="24"/>
        </w:rPr>
      </w:pPr>
      <w:r>
        <w:rPr>
          <w:sz w:val="24"/>
          <w:szCs w:val="24"/>
          <w:rtl w:val="0"/>
          <w:lang w:val="en-US"/>
        </w:rPr>
        <w:t xml:space="preserve">Lalonde </w:t>
      </w:r>
      <w:r>
        <w:rPr>
          <w:i w:val="1"/>
          <w:iCs w:val="1"/>
          <w:sz w:val="24"/>
          <w:szCs w:val="24"/>
          <w:rtl w:val="0"/>
          <w:lang w:val="en-US"/>
        </w:rPr>
        <w:t>et al</w:t>
      </w:r>
      <w:r>
        <w:rPr>
          <w:sz w:val="24"/>
          <w:szCs w:val="24"/>
          <w:rtl w:val="0"/>
          <w:lang w:val="en-US"/>
        </w:rPr>
        <w:t xml:space="preserve"> 1991: Lalonde V. </w:t>
      </w:r>
      <w:r>
        <w:rPr>
          <w:i w:val="1"/>
          <w:iCs w:val="1"/>
          <w:sz w:val="24"/>
          <w:szCs w:val="24"/>
          <w:rtl w:val="0"/>
          <w:lang w:val="en-US"/>
        </w:rPr>
        <w:t xml:space="preserve">et al., Inscriptions: Horoi, Poletai Records and Leases of Public Lands, </w:t>
      </w:r>
      <w:r>
        <w:rPr>
          <w:sz w:val="24"/>
          <w:szCs w:val="24"/>
          <w:rtl w:val="0"/>
          <w:lang w:val="en-US"/>
        </w:rPr>
        <w:t>Athenian Agora XIX, Princeton.</w:t>
      </w:r>
    </w:p>
    <w:p>
      <w:pPr>
        <w:pStyle w:val="Normal.0"/>
        <w:jc w:val="both"/>
        <w:rPr>
          <w:sz w:val="24"/>
          <w:szCs w:val="24"/>
        </w:rPr>
      </w:pPr>
      <w:r>
        <w:rPr>
          <w:sz w:val="24"/>
          <w:szCs w:val="24"/>
          <w:rtl w:val="0"/>
          <w:lang w:val="en-US"/>
        </w:rPr>
        <w:t xml:space="preserve">Leonardos 2010: I. Leonardos, </w:t>
      </w:r>
      <w:r>
        <w:rPr>
          <w:i w:val="1"/>
          <w:iCs w:val="1"/>
          <w:sz w:val="24"/>
          <w:szCs w:val="24"/>
          <w:rtl w:val="0"/>
          <w:lang w:val="en-US"/>
        </w:rPr>
        <w:t>Statistical Analysis of the Mine Names in Ancient Laurion</w:t>
      </w:r>
      <w:r>
        <w:rPr>
          <w:sz w:val="24"/>
          <w:szCs w:val="24"/>
          <w:rtl w:val="0"/>
          <w:lang w:val="en-US"/>
        </w:rPr>
        <w:t xml:space="preserve">, </w:t>
      </w:r>
      <w:r>
        <w:rPr>
          <w:sz w:val="24"/>
          <w:szCs w:val="24"/>
          <w:rtl w:val="0"/>
          <w:lang w:val="en-US"/>
        </w:rPr>
        <w:t>«</w:t>
      </w:r>
      <w:r>
        <w:rPr>
          <w:sz w:val="24"/>
          <w:szCs w:val="24"/>
          <w:rtl w:val="0"/>
          <w:lang w:val="en-US"/>
        </w:rPr>
        <w:t>Mineral Wealth</w:t>
      </w:r>
      <w:r>
        <w:rPr>
          <w:sz w:val="24"/>
          <w:szCs w:val="24"/>
          <w:rtl w:val="0"/>
          <w:lang w:val="en-US"/>
        </w:rPr>
        <w:t>»</w:t>
      </w:r>
      <w:r>
        <w:rPr>
          <w:i w:val="1"/>
          <w:iCs w:val="1"/>
          <w:sz w:val="24"/>
          <w:szCs w:val="24"/>
          <w:rtl w:val="0"/>
          <w:lang w:val="en-US"/>
        </w:rPr>
        <w:t xml:space="preserve"> </w:t>
      </w:r>
      <w:r>
        <w:rPr>
          <w:sz w:val="24"/>
          <w:szCs w:val="24"/>
          <w:rtl w:val="0"/>
          <w:lang w:val="en-US"/>
        </w:rPr>
        <w:t>2010, 47-52.</w:t>
      </w:r>
    </w:p>
    <w:p>
      <w:pPr>
        <w:pStyle w:val="Normal.0"/>
        <w:jc w:val="both"/>
        <w:rPr>
          <w:sz w:val="24"/>
          <w:szCs w:val="24"/>
        </w:rPr>
      </w:pPr>
      <w:r>
        <w:rPr>
          <w:sz w:val="24"/>
          <w:szCs w:val="24"/>
          <w:rtl w:val="0"/>
          <w:lang w:val="en-US"/>
        </w:rPr>
        <w:t xml:space="preserve">Llobera 1996: M. Llobera, </w:t>
      </w:r>
      <w:r>
        <w:rPr>
          <w:i w:val="1"/>
          <w:iCs w:val="1"/>
          <w:sz w:val="24"/>
          <w:szCs w:val="24"/>
          <w:rtl w:val="0"/>
          <w:lang w:val="en-US"/>
        </w:rPr>
        <w:t>Exploring the topography of mind: GIS, social space and archaeology</w:t>
      </w:r>
      <w:r>
        <w:rPr>
          <w:sz w:val="24"/>
          <w:szCs w:val="24"/>
          <w:rtl w:val="0"/>
          <w:lang w:val="en-US"/>
        </w:rPr>
        <w:t xml:space="preserve">, </w:t>
      </w:r>
      <w:r>
        <w:rPr>
          <w:sz w:val="24"/>
          <w:szCs w:val="24"/>
          <w:rtl w:val="0"/>
          <w:lang w:val="en-US"/>
        </w:rPr>
        <w:t>«</w:t>
      </w:r>
      <w:r>
        <w:rPr>
          <w:sz w:val="24"/>
          <w:szCs w:val="24"/>
          <w:rtl w:val="0"/>
          <w:lang w:val="en-US"/>
        </w:rPr>
        <w:t>Antiquity</w:t>
      </w:r>
      <w:r>
        <w:rPr>
          <w:sz w:val="24"/>
          <w:szCs w:val="24"/>
          <w:rtl w:val="0"/>
          <w:lang w:val="en-US"/>
        </w:rPr>
        <w:t xml:space="preserve">» </w:t>
      </w:r>
      <w:r>
        <w:rPr>
          <w:sz w:val="24"/>
          <w:szCs w:val="24"/>
          <w:rtl w:val="0"/>
          <w:lang w:val="en-US"/>
        </w:rPr>
        <w:t>70, 612-22.</w:t>
      </w:r>
    </w:p>
    <w:p>
      <w:pPr>
        <w:pStyle w:val="Normal.0"/>
        <w:jc w:val="both"/>
        <w:rPr>
          <w:sz w:val="24"/>
          <w:szCs w:val="24"/>
        </w:rPr>
      </w:pPr>
      <w:r>
        <w:rPr>
          <w:sz w:val="24"/>
          <w:szCs w:val="24"/>
          <w:rtl w:val="0"/>
          <w:lang w:val="fr-FR"/>
        </w:rPr>
        <w:t xml:space="preserve">Merleau-Ponty 1945: M. Merleau-Ponty, </w:t>
      </w:r>
      <w:r>
        <w:rPr>
          <w:i w:val="1"/>
          <w:iCs w:val="1"/>
          <w:sz w:val="24"/>
          <w:szCs w:val="24"/>
          <w:rtl w:val="0"/>
          <w:lang w:val="fr-FR"/>
        </w:rPr>
        <w:t>Ph</w:t>
      </w:r>
      <w:r>
        <w:rPr>
          <w:i w:val="1"/>
          <w:iCs w:val="1"/>
          <w:sz w:val="24"/>
          <w:szCs w:val="24"/>
          <w:rtl w:val="0"/>
          <w:lang w:val="fr-FR"/>
        </w:rPr>
        <w:t>é</w:t>
      </w:r>
      <w:r>
        <w:rPr>
          <w:i w:val="1"/>
          <w:iCs w:val="1"/>
          <w:sz w:val="24"/>
          <w:szCs w:val="24"/>
          <w:rtl w:val="0"/>
          <w:lang w:val="fr-FR"/>
        </w:rPr>
        <w:t>nom</w:t>
      </w:r>
      <w:r>
        <w:rPr>
          <w:i w:val="1"/>
          <w:iCs w:val="1"/>
          <w:sz w:val="24"/>
          <w:szCs w:val="24"/>
          <w:rtl w:val="0"/>
          <w:lang w:val="fr-FR"/>
        </w:rPr>
        <w:t>é</w:t>
      </w:r>
      <w:r>
        <w:rPr>
          <w:i w:val="1"/>
          <w:iCs w:val="1"/>
          <w:sz w:val="24"/>
          <w:szCs w:val="24"/>
          <w:rtl w:val="0"/>
          <w:lang w:val="fr-FR"/>
        </w:rPr>
        <w:t xml:space="preserve">nologie </w:t>
      </w:r>
      <w:r>
        <w:rPr>
          <w:i w:val="1"/>
          <w:iCs w:val="1"/>
          <w:sz w:val="24"/>
          <w:szCs w:val="24"/>
          <w:rtl w:val="0"/>
          <w:lang w:val="en-US"/>
        </w:rPr>
        <w:t>de</w:t>
      </w:r>
      <w:r>
        <w:rPr>
          <w:i w:val="1"/>
          <w:iCs w:val="1"/>
          <w:sz w:val="24"/>
          <w:szCs w:val="24"/>
          <w:rtl w:val="0"/>
          <w:lang w:val="fr-FR"/>
        </w:rPr>
        <w:t xml:space="preserve"> la Perception,</w:t>
      </w:r>
      <w:r>
        <w:rPr>
          <w:sz w:val="24"/>
          <w:szCs w:val="24"/>
          <w:rtl w:val="0"/>
          <w:lang w:val="fr-FR"/>
        </w:rPr>
        <w:t xml:space="preserve"> Paris, Librairie Gallimard. </w:t>
      </w:r>
    </w:p>
    <w:p>
      <w:pPr>
        <w:pStyle w:val="Normal.0"/>
        <w:jc w:val="both"/>
        <w:rPr>
          <w:sz w:val="24"/>
          <w:szCs w:val="24"/>
        </w:rPr>
      </w:pPr>
      <w:r>
        <w:rPr>
          <w:sz w:val="24"/>
          <w:szCs w:val="24"/>
          <w:rtl w:val="0"/>
          <w:lang w:val="en-US"/>
        </w:rPr>
        <w:t xml:space="preserve">Muir 1999: R. Miur, </w:t>
      </w:r>
      <w:r>
        <w:rPr>
          <w:i w:val="1"/>
          <w:iCs w:val="1"/>
          <w:sz w:val="24"/>
          <w:szCs w:val="24"/>
          <w:rtl w:val="0"/>
          <w:lang w:val="en-US"/>
        </w:rPr>
        <w:t>Approaches to landscape</w:t>
      </w:r>
      <w:r>
        <w:rPr>
          <w:sz w:val="24"/>
          <w:szCs w:val="24"/>
          <w:rtl w:val="0"/>
          <w:lang w:val="en-US"/>
        </w:rPr>
        <w:t>, London, Palgrave Macmillan.</w:t>
      </w:r>
    </w:p>
    <w:p>
      <w:pPr>
        <w:pStyle w:val="Normal.0"/>
        <w:jc w:val="both"/>
        <w:rPr>
          <w:sz w:val="24"/>
          <w:szCs w:val="24"/>
        </w:rPr>
      </w:pPr>
      <w:r>
        <w:rPr>
          <w:sz w:val="24"/>
          <w:szCs w:val="24"/>
          <w:rtl w:val="0"/>
          <w:lang w:val="en-US"/>
        </w:rPr>
        <w:t>Piaget 1952: J. Piaget,</w:t>
      </w:r>
      <w:r>
        <w:rPr>
          <w:sz w:val="24"/>
          <w:szCs w:val="24"/>
          <w:rtl w:val="0"/>
          <w:lang w:val="en-US"/>
        </w:rPr>
        <w:t> </w:t>
      </w:r>
      <w:r>
        <w:rPr>
          <w:i w:val="1"/>
          <w:iCs w:val="1"/>
          <w:sz w:val="24"/>
          <w:szCs w:val="24"/>
          <w:rtl w:val="0"/>
          <w:lang w:val="en-US"/>
        </w:rPr>
        <w:t>The origins of intelligence in children</w:t>
      </w:r>
      <w:r>
        <w:rPr>
          <w:sz w:val="24"/>
          <w:szCs w:val="24"/>
          <w:rtl w:val="0"/>
          <w:lang w:val="en-US"/>
        </w:rPr>
        <w:t>. New York, International Universities Press.</w:t>
      </w:r>
    </w:p>
    <w:p>
      <w:pPr>
        <w:pStyle w:val="Normal.0"/>
        <w:jc w:val="both"/>
        <w:rPr>
          <w:sz w:val="24"/>
          <w:szCs w:val="24"/>
        </w:rPr>
      </w:pPr>
      <w:r>
        <w:rPr>
          <w:sz w:val="24"/>
          <w:szCs w:val="24"/>
          <w:rtl w:val="0"/>
          <w:lang w:val="en-US"/>
        </w:rPr>
        <w:t xml:space="preserve">Shipton 1998: K. Shipton, </w:t>
      </w:r>
      <w:r>
        <w:rPr>
          <w:i w:val="1"/>
          <w:iCs w:val="1"/>
          <w:sz w:val="24"/>
          <w:szCs w:val="24"/>
          <w:rtl w:val="0"/>
          <w:lang w:val="en-US"/>
        </w:rPr>
        <w:t>The prices of the Athenian silver mines</w:t>
      </w:r>
      <w:r>
        <w:rPr>
          <w:sz w:val="24"/>
          <w:szCs w:val="24"/>
          <w:rtl w:val="0"/>
          <w:lang w:val="en-US"/>
        </w:rPr>
        <w:t>, in</w:t>
      </w:r>
      <w:r>
        <w:rPr>
          <w:sz w:val="24"/>
          <w:szCs w:val="24"/>
          <w:rtl w:val="0"/>
          <w:lang w:val="en-US"/>
        </w:rPr>
        <w:t> </w:t>
      </w:r>
      <w:r>
        <w:rPr>
          <w:i w:val="1"/>
          <w:iCs w:val="1"/>
          <w:sz w:val="24"/>
          <w:szCs w:val="24"/>
          <w:rtl w:val="0"/>
          <w:lang w:val="en-US"/>
        </w:rPr>
        <w:t>Zeitschrift f</w:t>
      </w:r>
      <w:r>
        <w:rPr>
          <w:i w:val="1"/>
          <w:iCs w:val="1"/>
          <w:sz w:val="24"/>
          <w:szCs w:val="24"/>
          <w:rtl w:val="0"/>
          <w:lang w:val="en-US"/>
        </w:rPr>
        <w:t>ü</w:t>
      </w:r>
      <w:r>
        <w:rPr>
          <w:i w:val="1"/>
          <w:iCs w:val="1"/>
          <w:sz w:val="24"/>
          <w:szCs w:val="24"/>
          <w:rtl w:val="0"/>
          <w:lang w:val="en-US"/>
        </w:rPr>
        <w:t>r Papyrologie und Epigraphik</w:t>
      </w:r>
      <w:r>
        <w:rPr>
          <w:sz w:val="24"/>
          <w:szCs w:val="24"/>
          <w:rtl w:val="0"/>
          <w:lang w:val="en-US"/>
        </w:rPr>
        <w:t>, 57-63.</w:t>
      </w:r>
    </w:p>
    <w:p>
      <w:pPr>
        <w:pStyle w:val="Normal.0"/>
        <w:jc w:val="both"/>
        <w:rPr>
          <w:sz w:val="24"/>
          <w:szCs w:val="24"/>
        </w:rPr>
      </w:pPr>
      <w:r>
        <w:rPr>
          <w:sz w:val="24"/>
          <w:szCs w:val="24"/>
          <w:rtl w:val="0"/>
          <w:lang w:val="en-US"/>
        </w:rPr>
        <w:t xml:space="preserve">Shipton 2000: K. Shipton,  </w:t>
      </w:r>
      <w:r>
        <w:rPr>
          <w:i w:val="1"/>
          <w:iCs w:val="1"/>
          <w:sz w:val="24"/>
          <w:szCs w:val="24"/>
          <w:rtl w:val="0"/>
          <w:lang w:val="en-US"/>
        </w:rPr>
        <w:t>Leasing and lending: the cash economy in fourth-century BC Athens</w:t>
      </w:r>
      <w:r>
        <w:rPr>
          <w:sz w:val="24"/>
          <w:szCs w:val="24"/>
          <w:rtl w:val="0"/>
          <w:lang w:val="en-US"/>
        </w:rPr>
        <w:t>,</w:t>
      </w:r>
      <w:r>
        <w:rPr>
          <w:sz w:val="24"/>
          <w:szCs w:val="24"/>
          <w:rtl w:val="0"/>
          <w:lang w:val="en-US"/>
        </w:rPr>
        <w:t> «</w:t>
      </w:r>
      <w:r>
        <w:rPr>
          <w:sz w:val="24"/>
          <w:szCs w:val="24"/>
          <w:rtl w:val="0"/>
          <w:lang w:val="en-US"/>
        </w:rPr>
        <w:t>Bulletin of the Institute of Classical Studies</w:t>
      </w:r>
      <w:r>
        <w:rPr>
          <w:sz w:val="24"/>
          <w:szCs w:val="24"/>
          <w:rtl w:val="0"/>
          <w:lang w:val="en-US"/>
        </w:rPr>
        <w:t>»</w:t>
      </w:r>
      <w:r>
        <w:rPr>
          <w:sz w:val="24"/>
          <w:szCs w:val="24"/>
          <w:rtl w:val="0"/>
          <w:lang w:val="en-US"/>
        </w:rPr>
        <w:t>, Supplement iii-14.</w:t>
      </w:r>
    </w:p>
    <w:p>
      <w:pPr>
        <w:pStyle w:val="Normal.0"/>
        <w:jc w:val="both"/>
        <w:rPr>
          <w:sz w:val="24"/>
          <w:szCs w:val="24"/>
        </w:rPr>
      </w:pPr>
      <w:r>
        <w:rPr>
          <w:sz w:val="24"/>
          <w:szCs w:val="24"/>
          <w:rtl w:val="0"/>
          <w:lang w:val="en-US"/>
        </w:rPr>
        <w:t xml:space="preserve">Tilley 1994: C. Tilley, </w:t>
      </w:r>
      <w:r>
        <w:rPr>
          <w:i w:val="1"/>
          <w:iCs w:val="1"/>
          <w:sz w:val="24"/>
          <w:szCs w:val="24"/>
          <w:rtl w:val="0"/>
          <w:lang w:val="en-US"/>
        </w:rPr>
        <w:t>A phenomenology of landscape: places, paths and monuments</w:t>
      </w:r>
      <w:r>
        <w:rPr>
          <w:sz w:val="24"/>
          <w:szCs w:val="24"/>
          <w:rtl w:val="0"/>
          <w:lang w:val="en-US"/>
        </w:rPr>
        <w:t>, Oxford, Berg.</w:t>
      </w:r>
    </w:p>
    <w:p>
      <w:pPr>
        <w:pStyle w:val="Normal.0"/>
        <w:jc w:val="both"/>
        <w:rPr>
          <w:sz w:val="24"/>
          <w:szCs w:val="24"/>
        </w:rPr>
      </w:pPr>
      <w:r>
        <w:rPr>
          <w:sz w:val="24"/>
          <w:szCs w:val="24"/>
          <w:rtl w:val="0"/>
          <w:lang w:val="en-US"/>
        </w:rPr>
        <w:t xml:space="preserve">Whitehead 1990: D. Whitehead, </w:t>
      </w:r>
      <w:r>
        <w:rPr>
          <w:i w:val="1"/>
          <w:iCs w:val="1"/>
          <w:sz w:val="24"/>
          <w:szCs w:val="24"/>
          <w:rtl w:val="0"/>
          <w:lang w:val="en-US"/>
        </w:rPr>
        <w:t>Abbreviated Athenian Demotics</w:t>
      </w:r>
      <w:r>
        <w:rPr>
          <w:sz w:val="24"/>
          <w:szCs w:val="24"/>
          <w:rtl w:val="0"/>
          <w:lang w:val="en-US"/>
        </w:rPr>
        <w:t xml:space="preserve">, in </w:t>
      </w:r>
      <w:r>
        <w:rPr>
          <w:i w:val="1"/>
          <w:iCs w:val="1"/>
          <w:sz w:val="24"/>
          <w:szCs w:val="24"/>
          <w:rtl w:val="0"/>
          <w:lang w:val="en-US"/>
        </w:rPr>
        <w:t>Zeitschrift f</w:t>
      </w:r>
      <w:r>
        <w:rPr>
          <w:i w:val="1"/>
          <w:iCs w:val="1"/>
          <w:sz w:val="24"/>
          <w:szCs w:val="24"/>
          <w:rtl w:val="0"/>
          <w:lang w:val="en-US"/>
        </w:rPr>
        <w:t>ü</w:t>
      </w:r>
      <w:r>
        <w:rPr>
          <w:i w:val="1"/>
          <w:iCs w:val="1"/>
          <w:sz w:val="24"/>
          <w:szCs w:val="24"/>
          <w:rtl w:val="0"/>
          <w:lang w:val="en-US"/>
        </w:rPr>
        <w:t>r Papyrologie und Epigraphik</w:t>
      </w:r>
      <w:r>
        <w:rPr>
          <w:sz w:val="24"/>
          <w:szCs w:val="24"/>
          <w:rtl w:val="0"/>
          <w:lang w:val="en-US"/>
        </w:rPr>
        <w:t>, 105-161.</w:t>
      </w:r>
    </w:p>
    <w:p>
      <w:pPr>
        <w:pStyle w:val="Normal.0"/>
        <w:jc w:val="both"/>
        <w:rPr>
          <w:sz w:val="24"/>
          <w:szCs w:val="24"/>
        </w:rPr>
      </w:pPr>
    </w:p>
    <w:p>
      <w:pPr>
        <w:pStyle w:val="Normal.0"/>
        <w:jc w:val="both"/>
        <w:rPr>
          <w:sz w:val="24"/>
          <w:szCs w:val="24"/>
        </w:rPr>
      </w:pPr>
    </w:p>
    <w:p>
      <w:pPr>
        <w:pStyle w:val="Normal.0"/>
        <w:rPr>
          <w:sz w:val="24"/>
          <w:szCs w:val="24"/>
        </w:rPr>
      </w:pPr>
    </w:p>
    <w:p>
      <w:pPr>
        <w:pStyle w:val="Normal.0"/>
        <w:jc w:val="both"/>
        <w:rPr>
          <w:sz w:val="24"/>
          <w:szCs w:val="24"/>
        </w:rPr>
      </w:pPr>
    </w:p>
    <w:p>
      <w:pPr>
        <w:pStyle w:val="Normal.0"/>
        <w:jc w:val="both"/>
        <w:rPr>
          <w:sz w:val="24"/>
          <w:szCs w:val="24"/>
        </w:rPr>
      </w:pPr>
    </w:p>
    <w:p>
      <w:pPr>
        <w:pStyle w:val="Normal.0"/>
        <w:jc w:val="both"/>
        <w:rPr>
          <w:sz w:val="24"/>
          <w:szCs w:val="24"/>
        </w:rPr>
      </w:pPr>
    </w:p>
    <w:p>
      <w:pPr>
        <w:pStyle w:val="Normal.0"/>
        <w:jc w:val="both"/>
      </w:pPr>
      <w:r>
        <w:rPr>
          <w:sz w:val="24"/>
          <w:szCs w:val="24"/>
        </w:rPr>
      </w:r>
    </w:p>
    <w:sectPr>
      <w:type w:val="continuous"/>
      <w:pgSz w:w="11900" w:h="16840" w:orient="portrait"/>
      <w:pgMar w:top="1418" w:right="1418" w:bottom="1418" w:left="1418"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Book Antiqu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text"/>
      </w:pPr>
      <w:r>
        <w:rPr>
          <w:sz w:val="24"/>
          <w:szCs w:val="24"/>
          <w:vertAlign w:val="superscript"/>
          <w:lang w:val="it-IT"/>
        </w:rPr>
        <w:footnoteRef/>
      </w:r>
      <w:r>
        <w:rPr>
          <w:rtl w:val="0"/>
          <w:lang w:val="it-IT"/>
        </w:rPr>
        <w:t xml:space="preserve"> </w:t>
      </w:r>
      <w:r>
        <w:rPr>
          <w:sz w:val="24"/>
          <w:szCs w:val="24"/>
          <w:rtl w:val="0"/>
          <w:lang w:val="it-IT"/>
        </w:rPr>
        <w:t xml:space="preserve">Llobera 1996; see Farinetti </w:t>
      </w:r>
      <w:r>
        <w:rPr>
          <w:sz w:val="24"/>
          <w:szCs w:val="24"/>
          <w:rtl w:val="0"/>
          <w:lang w:val="it-IT"/>
        </w:rPr>
        <w:t xml:space="preserve">– </w:t>
      </w:r>
      <w:r>
        <w:rPr>
          <w:sz w:val="24"/>
          <w:szCs w:val="24"/>
          <w:rtl w:val="0"/>
          <w:lang w:val="it-IT"/>
        </w:rPr>
        <w:t>Cavallero 2019.</w:t>
      </w:r>
    </w:p>
  </w:footnote>
  <w:footnote w:id="2">
    <w:p>
      <w:pPr>
        <w:pStyle w:val="footnote text"/>
      </w:pPr>
      <w:r>
        <w:rPr>
          <w:sz w:val="24"/>
          <w:szCs w:val="24"/>
          <w:vertAlign w:val="superscript"/>
          <w:lang w:val="it-IT"/>
        </w:rPr>
        <w:footnoteRef/>
      </w:r>
      <w:r>
        <w:rPr>
          <w:rtl w:val="0"/>
          <w:lang w:val="it-IT"/>
        </w:rPr>
        <w:t xml:space="preserve"> </w:t>
      </w:r>
      <w:r>
        <w:rPr>
          <w:sz w:val="24"/>
          <w:szCs w:val="24"/>
          <w:rtl w:val="0"/>
          <w:lang w:val="it-IT"/>
        </w:rPr>
        <w:t>Ingold 1993.</w:t>
      </w:r>
    </w:p>
  </w:footnote>
  <w:footnote w:id="3">
    <w:p>
      <w:pPr>
        <w:pStyle w:val="footnote text"/>
      </w:pPr>
      <w:r>
        <w:rPr>
          <w:sz w:val="24"/>
          <w:szCs w:val="24"/>
          <w:vertAlign w:val="superscript"/>
          <w:lang w:val="fr-FR"/>
        </w:rPr>
        <w:footnoteRef/>
      </w:r>
      <w:r>
        <w:rPr>
          <w:rtl w:val="0"/>
          <w:lang w:val="en-US"/>
        </w:rPr>
        <w:t xml:space="preserve"> </w:t>
      </w:r>
      <w:r>
        <w:rPr>
          <w:sz w:val="24"/>
          <w:szCs w:val="24"/>
          <w:rtl w:val="0"/>
          <w:lang w:val="fr-FR"/>
        </w:rPr>
        <w:t>Merleau-Ponty 1945.</w:t>
      </w:r>
    </w:p>
  </w:footnote>
  <w:footnote w:id="4">
    <w:p>
      <w:pPr>
        <w:pStyle w:val="footnote text"/>
      </w:pPr>
      <w:r>
        <w:rPr>
          <w:sz w:val="24"/>
          <w:szCs w:val="24"/>
          <w:vertAlign w:val="superscript"/>
        </w:rPr>
        <w:footnoteRef/>
      </w:r>
      <w:r>
        <w:rPr>
          <w:rFonts w:cs="Arial Unicode MS" w:eastAsia="Arial Unicode MS"/>
          <w:rtl w:val="0"/>
          <w:lang w:val="en-US"/>
        </w:rPr>
        <w:t xml:space="preserve"> </w:t>
      </w:r>
      <w:r>
        <w:rPr>
          <w:rFonts w:cs="Arial Unicode MS" w:eastAsia="Arial Unicode MS"/>
          <w:sz w:val="24"/>
          <w:szCs w:val="24"/>
          <w:rtl w:val="0"/>
          <w:lang w:val="en-US"/>
        </w:rPr>
        <w:t>Piaget 1952.</w:t>
      </w:r>
    </w:p>
  </w:footnote>
  <w:footnote w:id="5">
    <w:p>
      <w:pPr>
        <w:pStyle w:val="footnote text"/>
      </w:pPr>
      <w:r>
        <w:rPr>
          <w:sz w:val="24"/>
          <w:szCs w:val="24"/>
          <w:vertAlign w:val="superscript"/>
        </w:rPr>
        <w:footnoteRef/>
      </w:r>
      <w:r>
        <w:rPr>
          <w:rFonts w:cs="Arial Unicode MS" w:eastAsia="Arial Unicode MS"/>
          <w:rtl w:val="0"/>
          <w:lang w:val="en-US"/>
        </w:rPr>
        <w:t xml:space="preserve"> </w:t>
      </w:r>
      <w:r>
        <w:rPr>
          <w:rFonts w:cs="Arial Unicode MS" w:eastAsia="Arial Unicode MS"/>
          <w:sz w:val="24"/>
          <w:szCs w:val="24"/>
          <w:rtl w:val="0"/>
          <w:lang w:val="en-US"/>
        </w:rPr>
        <w:t>Guervich 2008.</w:t>
      </w:r>
    </w:p>
  </w:footnote>
  <w:footnote w:id="6">
    <w:p>
      <w:pPr>
        <w:pStyle w:val="footnote text"/>
      </w:pPr>
      <w:r>
        <w:rPr>
          <w:sz w:val="24"/>
          <w:szCs w:val="24"/>
          <w:vertAlign w:val="superscript"/>
        </w:rPr>
        <w:footnoteRef/>
      </w:r>
      <w:r>
        <w:rPr>
          <w:rFonts w:cs="Arial Unicode MS" w:eastAsia="Arial Unicode MS"/>
          <w:rtl w:val="0"/>
          <w:lang w:val="en-US"/>
        </w:rPr>
        <w:t xml:space="preserve"> </w:t>
      </w:r>
      <w:r>
        <w:rPr>
          <w:rFonts w:cs="Arial Unicode MS" w:eastAsia="Arial Unicode MS"/>
          <w:sz w:val="24"/>
          <w:szCs w:val="24"/>
          <w:rtl w:val="0"/>
          <w:lang w:val="en-US"/>
        </w:rPr>
        <w:t>Bowden - Lowenthal 1965; Tilley 1994; Johnston 1998; Ingold 2000.</w:t>
      </w:r>
    </w:p>
  </w:footnote>
  <w:footnote w:id="7">
    <w:p>
      <w:pPr>
        <w:pStyle w:val="footnote text"/>
      </w:pPr>
      <w:r>
        <w:rPr>
          <w:sz w:val="24"/>
          <w:szCs w:val="24"/>
          <w:vertAlign w:val="superscript"/>
        </w:rPr>
        <w:footnoteRef/>
      </w:r>
      <w:r>
        <w:rPr>
          <w:rFonts w:cs="Arial Unicode MS" w:eastAsia="Arial Unicode MS"/>
          <w:rtl w:val="0"/>
          <w:lang w:val="en-US"/>
        </w:rPr>
        <w:t xml:space="preserve"> </w:t>
      </w:r>
      <w:r>
        <w:rPr>
          <w:rFonts w:cs="Arial Unicode MS" w:eastAsia="Arial Unicode MS"/>
          <w:sz w:val="24"/>
          <w:szCs w:val="24"/>
          <w:rtl w:val="0"/>
          <w:lang w:val="en-US"/>
        </w:rPr>
        <w:t>Crosby 1941; Crosby 1950; Crosby 1957; Lalonde et al. 1991.</w:t>
      </w:r>
    </w:p>
  </w:footnote>
  <w:footnote w:id="8">
    <w:p>
      <w:pPr>
        <w:pStyle w:val="Footnote"/>
      </w:pPr>
      <w:r>
        <w:rPr>
          <w:sz w:val="24"/>
          <w:szCs w:val="24"/>
          <w:vertAlign w:val="superscript"/>
        </w:rPr>
        <w:footnoteRef/>
      </w:r>
      <w:r>
        <w:rPr>
          <w:rFonts w:ascii="Times New Roman" w:hAnsi="Times New Roman"/>
          <w:sz w:val="20"/>
          <w:szCs w:val="20"/>
          <w:vertAlign w:val="superscript"/>
          <w:rtl w:val="0"/>
          <w:lang w:val="en-US"/>
        </w:rPr>
        <w:t xml:space="preserve"> </w:t>
      </w:r>
      <w:r>
        <w:rPr>
          <w:rFonts w:ascii="Times New Roman" w:hAnsi="Times New Roman" w:hint="default"/>
          <w:sz w:val="24"/>
          <w:szCs w:val="24"/>
          <w:rtl w:val="0"/>
          <w:lang w:val="en-US"/>
        </w:rPr>
        <w:t>Ανασάξιμον</w:t>
      </w:r>
      <w:r>
        <w:rPr>
          <w:rFonts w:ascii="Times New Roman" w:hAnsi="Times New Roman"/>
          <w:sz w:val="24"/>
          <w:szCs w:val="24"/>
          <w:rtl w:val="0"/>
          <w:lang w:val="en-US"/>
        </w:rPr>
        <w:t xml:space="preserve">, </w:t>
      </w:r>
      <w:r>
        <w:rPr>
          <w:rFonts w:ascii="Times New Roman" w:hAnsi="Times New Roman" w:hint="default"/>
          <w:sz w:val="24"/>
          <w:szCs w:val="24"/>
          <w:rtl w:val="0"/>
          <w:lang w:val="en-US"/>
        </w:rPr>
        <w:t>εργάσιμον</w:t>
      </w:r>
      <w:r>
        <w:rPr>
          <w:rFonts w:ascii="Times New Roman" w:hAnsi="Times New Roman"/>
          <w:sz w:val="24"/>
          <w:szCs w:val="24"/>
          <w:rtl w:val="0"/>
          <w:lang w:val="en-US"/>
        </w:rPr>
        <w:t xml:space="preserve">, </w:t>
      </w:r>
      <w:r>
        <w:rPr>
          <w:rFonts w:ascii="Times New Roman" w:hAnsi="Times New Roman" w:hint="default"/>
          <w:sz w:val="24"/>
          <w:szCs w:val="24"/>
          <w:rtl w:val="0"/>
          <w:lang w:val="en-US"/>
        </w:rPr>
        <w:t>συγκεχωρημένον</w:t>
      </w:r>
      <w:r>
        <w:rPr>
          <w:rFonts w:ascii="Times New Roman" w:hAnsi="Times New Roman"/>
          <w:sz w:val="24"/>
          <w:szCs w:val="24"/>
          <w:rtl w:val="0"/>
          <w:lang w:val="en-US"/>
        </w:rPr>
        <w:t xml:space="preserve">, </w:t>
      </w:r>
      <w:r>
        <w:rPr>
          <w:rFonts w:ascii="Times New Roman" w:hAnsi="Times New Roman" w:hint="default"/>
          <w:sz w:val="24"/>
          <w:szCs w:val="24"/>
          <w:rtl w:val="0"/>
          <w:lang w:val="en-US"/>
        </w:rPr>
        <w:t xml:space="preserve">καινοτομία </w:t>
      </w:r>
      <w:r>
        <w:rPr>
          <w:rFonts w:ascii="Times New Roman" w:hAnsi="Times New Roman"/>
          <w:sz w:val="24"/>
          <w:szCs w:val="24"/>
          <w:rtl w:val="0"/>
          <w:lang w:val="en-US"/>
        </w:rPr>
        <w:t>(for a discussion on the meaning of these terms, see Kakavogiannis 2005, 112-116).</w:t>
      </w:r>
    </w:p>
  </w:footnote>
  <w:footnote w:id="9">
    <w:p>
      <w:pPr>
        <w:pStyle w:val="footnote text"/>
      </w:pPr>
      <w:r>
        <w:rPr>
          <w:sz w:val="24"/>
          <w:szCs w:val="24"/>
          <w:vertAlign w:val="superscript"/>
        </w:rPr>
        <w:footnoteRef/>
      </w:r>
      <w:r>
        <w:rPr>
          <w:rFonts w:cs="Arial Unicode MS" w:eastAsia="Arial Unicode MS"/>
          <w:rtl w:val="0"/>
          <w:lang w:val="en-US"/>
        </w:rPr>
        <w:t xml:space="preserve"> </w:t>
      </w:r>
      <w:r>
        <w:rPr>
          <w:rFonts w:cs="Arial Unicode MS" w:eastAsia="Arial Unicode MS"/>
          <w:sz w:val="24"/>
          <w:szCs w:val="24"/>
          <w:rtl w:val="0"/>
          <w:lang w:val="en-US"/>
        </w:rPr>
        <w:t>Kapetanios 2013, 185-187.</w:t>
      </w:r>
    </w:p>
  </w:footnote>
  <w:footnote w:id="10">
    <w:p>
      <w:pPr>
        <w:pStyle w:val="Normal.0"/>
        <w:jc w:val="both"/>
      </w:pPr>
      <w:r>
        <w:rPr>
          <w:sz w:val="20"/>
          <w:szCs w:val="20"/>
          <w:vertAlign w:val="superscript"/>
        </w:rPr>
        <w:footnoteRef/>
      </w:r>
      <w:r>
        <w:rPr>
          <w:rtl w:val="0"/>
          <w:lang w:val="en-US"/>
        </w:rPr>
        <w:t xml:space="preserve"> </w:t>
      </w:r>
      <w:r>
        <w:rPr>
          <w:sz w:val="20"/>
          <w:szCs w:val="20"/>
          <w:rtl w:val="0"/>
          <w:lang w:val="en-US"/>
        </w:rPr>
        <w:t>Photo after Kakavogiannis 2005, 48, fig.7, ML961</w:t>
      </w:r>
      <w:r>
        <w:rPr>
          <w:i w:val="1"/>
          <w:iCs w:val="1"/>
          <w:sz w:val="20"/>
          <w:szCs w:val="20"/>
          <w:rtl w:val="0"/>
          <w:lang w:val="en-US"/>
        </w:rPr>
        <w:t>.</w:t>
      </w:r>
      <w:r>
        <w:rPr>
          <w:sz w:val="20"/>
          <w:szCs w:val="20"/>
        </w:rPr>
      </w:r>
    </w:p>
  </w:footnote>
  <w:footnote w:id="11">
    <w:p>
      <w:pPr>
        <w:pStyle w:val="footnote text"/>
      </w:pPr>
      <w:r>
        <w:rPr>
          <w:sz w:val="24"/>
          <w:szCs w:val="24"/>
          <w:vertAlign w:val="superscript"/>
          <w:lang w:val="it-IT"/>
        </w:rPr>
        <w:footnoteRef/>
      </w:r>
      <w:r>
        <w:rPr>
          <w:rtl w:val="0"/>
          <w:lang w:val="it-IT"/>
        </w:rPr>
        <w:t xml:space="preserve"> </w:t>
      </w:r>
      <w:r>
        <w:rPr>
          <w:sz w:val="24"/>
          <w:szCs w:val="24"/>
          <w:rtl w:val="0"/>
          <w:lang w:val="it-IT"/>
        </w:rPr>
        <w:t>Muir 1999, 126.</w:t>
      </w:r>
    </w:p>
  </w:footnote>
  <w:footnote w:id="12">
    <w:p>
      <w:pPr>
        <w:pStyle w:val="footnote text"/>
      </w:pPr>
      <w:r>
        <w:rPr>
          <w:sz w:val="24"/>
          <w:szCs w:val="24"/>
          <w:vertAlign w:val="superscript"/>
        </w:rPr>
        <w:footnoteRef/>
      </w:r>
      <w:r>
        <w:rPr>
          <w:rtl w:val="0"/>
          <w:lang w:val="it-IT"/>
        </w:rPr>
        <w:t xml:space="preserve"> </w:t>
      </w:r>
      <w:r>
        <w:rPr>
          <w:sz w:val="24"/>
          <w:szCs w:val="24"/>
          <w:rtl w:val="0"/>
          <w:lang w:val="fr-FR"/>
        </w:rPr>
        <w:t xml:space="preserve">Merleau-Ponty 1946, </w:t>
      </w:r>
      <w:r>
        <w:rPr>
          <w:sz w:val="24"/>
          <w:szCs w:val="24"/>
          <w:rtl w:val="0"/>
          <w:lang w:val="it-IT"/>
        </w:rPr>
        <w:t>112-132.</w:t>
      </w:r>
    </w:p>
  </w:footnote>
  <w:footnote w:id="13">
    <w:p>
      <w:pPr>
        <w:pStyle w:val="footnote text"/>
      </w:pPr>
      <w:r>
        <w:rPr>
          <w:sz w:val="24"/>
          <w:szCs w:val="24"/>
          <w:vertAlign w:val="superscript"/>
          <w:lang w:val="it-IT"/>
        </w:rPr>
        <w:footnoteRef/>
      </w:r>
      <w:r>
        <w:rPr>
          <w:rtl w:val="0"/>
          <w:lang w:val="it-IT"/>
        </w:rPr>
        <w:t xml:space="preserve"> </w:t>
      </w:r>
      <w:r>
        <w:rPr>
          <w:sz w:val="24"/>
          <w:szCs w:val="24"/>
          <w:rtl w:val="0"/>
          <w:lang w:val="it-IT"/>
        </w:rPr>
        <w:t>Kapetanios 2013, 189-192.</w:t>
      </w:r>
    </w:p>
  </w:footnote>
  <w:footnote w:id="14">
    <w:p>
      <w:pPr>
        <w:pStyle w:val="footnote text"/>
      </w:pPr>
      <w:r>
        <w:rPr>
          <w:sz w:val="24"/>
          <w:szCs w:val="24"/>
          <w:vertAlign w:val="superscript"/>
          <w:lang w:val="it-IT"/>
        </w:rPr>
        <w:footnoteRef/>
      </w:r>
      <w:r>
        <w:rPr>
          <w:rtl w:val="0"/>
          <w:lang w:val="it-IT"/>
        </w:rPr>
        <w:t xml:space="preserve"> </w:t>
      </w:r>
      <w:r>
        <w:rPr>
          <w:sz w:val="24"/>
          <w:szCs w:val="24"/>
          <w:rtl w:val="0"/>
          <w:lang w:val="it-IT"/>
        </w:rPr>
        <w:t>Aperghis 1997-1998, Shipton 1998, 2000, Bissa 2008, Leonardos 2010.</w:t>
      </w:r>
    </w:p>
  </w:footnote>
  <w:footnote w:id="15">
    <w:p>
      <w:pPr>
        <w:pStyle w:val="footnote text"/>
      </w:pPr>
      <w:r>
        <w:rPr>
          <w:i w:val="1"/>
          <w:iCs w:val="1"/>
          <w:sz w:val="24"/>
          <w:szCs w:val="24"/>
          <w:vertAlign w:val="superscript"/>
          <w:lang w:val="it-IT"/>
        </w:rPr>
        <w:footnoteRef/>
      </w:r>
      <w:r>
        <w:rPr>
          <w:rtl w:val="0"/>
          <w:lang w:val="it-IT"/>
        </w:rPr>
        <w:t xml:space="preserve"> </w:t>
      </w:r>
      <w:r>
        <w:rPr>
          <w:sz w:val="24"/>
          <w:szCs w:val="24"/>
          <w:rtl w:val="0"/>
          <w:lang w:val="it-IT"/>
        </w:rPr>
        <w:t>Kapetanios 2013, 185-187.</w:t>
      </w:r>
    </w:p>
  </w:footnote>
  <w:footnote w:id="16">
    <w:p>
      <w:pPr>
        <w:pStyle w:val="footnote text"/>
      </w:pPr>
      <w:r>
        <w:rPr>
          <w:sz w:val="24"/>
          <w:szCs w:val="24"/>
          <w:vertAlign w:val="superscript"/>
        </w:rPr>
        <w:footnoteRef/>
      </w:r>
      <w:r>
        <w:rPr>
          <w:rtl w:val="0"/>
          <w:lang w:val="en-US"/>
        </w:rPr>
        <w:t xml:space="preserve"> </w:t>
      </w:r>
      <w:r>
        <w:rPr>
          <w:sz w:val="24"/>
          <w:szCs w:val="24"/>
          <w:rtl w:val="0"/>
          <w:lang w:val="fr-FR"/>
        </w:rPr>
        <w:t>Ferguson 1938.</w:t>
      </w:r>
    </w:p>
  </w:footnote>
  <w:footnote w:id="17">
    <w:p>
      <w:pPr>
        <w:pStyle w:val="footnote text"/>
      </w:pPr>
      <w:r>
        <w:rPr>
          <w:sz w:val="24"/>
          <w:szCs w:val="24"/>
          <w:vertAlign w:val="superscript"/>
        </w:rPr>
        <w:footnoteRef/>
      </w:r>
      <w:r>
        <w:rPr>
          <w:rtl w:val="0"/>
          <w:lang w:val="en-US"/>
        </w:rPr>
        <w:t xml:space="preserve"> </w:t>
      </w:r>
      <w:r>
        <w:rPr>
          <w:sz w:val="24"/>
          <w:szCs w:val="24"/>
          <w:rtl w:val="0"/>
          <w:lang w:val="en-US"/>
        </w:rPr>
        <w:t xml:space="preserve">SEG 33:147, </w:t>
      </w:r>
      <w:r>
        <w:rPr>
          <w:sz w:val="24"/>
          <w:szCs w:val="24"/>
          <w:rtl w:val="0"/>
          <w:lang w:val="fr-FR"/>
        </w:rPr>
        <w:t>Daux 1980, Daux 1984.</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sz w:val="24"/>
      <w:szCs w:val="24"/>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footnotes" Target="footnotes.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ema di Office">
  <a:themeElements>
    <a:clrScheme name="Tema di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