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start="2036" w:hanging="2051"/>
        <w:rPr>
          <w:lang w:val="en-US"/>
        </w:rPr>
      </w:pPr>
      <w:r>
        <w:rPr>
          <w:lang w:val="en-US"/>
        </w:rPr>
        <w:t>Supplementary Information</w:t>
      </w:r>
    </w:p>
    <w:p>
      <w:pPr>
        <w:pStyle w:val="Heading2"/>
        <w:rPr>
          <w:lang w:val="en-US"/>
        </w:rPr>
      </w:pPr>
      <w:r>
        <w:rPr/>
        <w:t>Background on pathway and seed complementarity</w:t>
      </w:r>
    </w:p>
    <w:p>
      <w:pPr>
        <w:pStyle w:val="Normal"/>
        <w:bidi w:val="0"/>
        <w:spacing w:before="0" w:after="195"/>
        <w:ind w:start="-15" w:hanging="0"/>
        <w:jc w:val="start"/>
        <w:rPr>
          <w:sz w:val="21"/>
          <w:szCs w:val="21"/>
        </w:rPr>
      </w:pPr>
      <w:r>
        <w:rPr>
          <w:sz w:val="21"/>
          <w:szCs w:val="21"/>
          <w:lang w:val="en-US"/>
        </w:rPr>
        <w:t xml:space="preserve">For a genome to have a KEGG module </w:t>
      </w:r>
      <w:r>
        <w:rPr>
          <w:i/>
          <w:iCs/>
          <w:sz w:val="21"/>
          <w:szCs w:val="21"/>
          <w:lang w:val="en-US"/>
        </w:rPr>
        <w:t xml:space="preserve">complete </w:t>
      </w:r>
      <w:r>
        <w:rPr>
          <w:sz w:val="21"/>
          <w:szCs w:val="21"/>
          <w:lang w:val="en-US"/>
        </w:rPr>
        <w:t xml:space="preserve">means it provides at least one complete </w:t>
      </w:r>
      <w:r>
        <w:rPr>
          <w:i/>
          <w:iCs/>
          <w:sz w:val="21"/>
          <w:szCs w:val="21"/>
          <w:lang w:val="en-US"/>
        </w:rPr>
        <w:t>alternative</w:t>
      </w:r>
      <w:r>
        <w:rPr>
          <w:sz w:val="21"/>
          <w:szCs w:val="21"/>
          <w:lang w:val="en-US"/>
        </w:rPr>
        <w:t>. Alternatives are considered as the unique combinations of KOs that connect an input compound to an output compound of the module</w:t>
      </w:r>
    </w:p>
    <w:p>
      <w:pPr>
        <w:pStyle w:val="Normal"/>
        <w:bidi w:val="0"/>
        <w:spacing w:before="0" w:after="195"/>
        <w:ind w:start="-15" w:hanging="0"/>
        <w:jc w:val="start"/>
        <w:rPr/>
      </w:pPr>
      <w:r>
        <w:rPr>
          <w:sz w:val="21"/>
          <w:szCs w:val="21"/>
          <w:lang w:val="en-US"/>
        </w:rPr>
        <w:t>For example, the definition of the D-Galacturonate degradation in Bacteria (</w:t>
      </w:r>
      <w:hyperlink r:id="rId2">
        <w:r>
          <w:rPr>
            <w:color w:val="0000FF"/>
            <w:sz w:val="21"/>
            <w:szCs w:val="21"/>
            <w:lang w:val="en-US"/>
          </w:rPr>
          <w:t>M00631</w:t>
        </w:r>
      </w:hyperlink>
      <w:hyperlink r:id="rId3">
        <w:r>
          <w:rPr>
            <w:sz w:val="21"/>
            <w:szCs w:val="21"/>
            <w:lang w:val="en-US"/>
          </w:rPr>
          <w:t>)</w:t>
        </w:r>
      </w:hyperlink>
      <w:r>
        <w:rPr>
          <w:sz w:val="21"/>
          <w:szCs w:val="21"/>
          <w:lang w:val="en-US"/>
        </w:rPr>
        <w:t xml:space="preserve"> is:</w:t>
      </w:r>
    </w:p>
    <w:p>
      <w:pPr>
        <w:pStyle w:val="Normal"/>
        <w:bidi w:val="0"/>
        <w:spacing w:lineRule="auto" w:line="446" w:before="0" w:after="0"/>
        <w:ind w:start="299" w:end="379" w:firstLine="120"/>
        <w:jc w:val="start"/>
        <w:rPr>
          <w:sz w:val="21"/>
          <w:szCs w:val="21"/>
        </w:rPr>
      </w:pPr>
      <w:r>
        <w:rPr>
          <w:rFonts w:eastAsia="Calibri" w:cs="Calibri" w:ascii="Calibri" w:hAnsi="Calibri"/>
          <w:sz w:val="21"/>
          <w:szCs w:val="21"/>
          <w:lang w:val="en-US"/>
        </w:rPr>
        <w:t xml:space="preserve">K01812 K00041 (K01685,K16849+K16850) K00874 (K01625,K17463) </w:t>
      </w:r>
    </w:p>
    <w:p>
      <w:pPr>
        <w:pStyle w:val="Normal"/>
        <w:bidi w:val="0"/>
        <w:spacing w:lineRule="auto" w:line="446" w:before="0" w:after="0"/>
        <w:ind w:end="379" w:hanging="0"/>
        <w:jc w:val="start"/>
        <w:rPr>
          <w:sz w:val="21"/>
          <w:szCs w:val="21"/>
        </w:rPr>
      </w:pPr>
      <w:r>
        <w:rPr>
          <w:sz w:val="21"/>
          <w:szCs w:val="21"/>
          <w:lang w:val="en-US"/>
        </w:rPr>
        <w:t>Once breaking down, it leads to 4 alternative sets of KOs (pathways):</w:t>
      </w:r>
    </w:p>
    <w:p>
      <w:pPr>
        <w:pStyle w:val="Heading2"/>
        <w:spacing w:lineRule="auto" w:line="247" w:before="0" w:after="449"/>
        <w:ind w:start="832" w:end="1659" w:hanging="10"/>
        <w:rPr>
          <w:sz w:val="21"/>
          <w:szCs w:val="21"/>
        </w:rPr>
      </w:pPr>
      <w:r>
        <w:rPr>
          <w:rFonts w:eastAsia="Calibri" w:cs="Calibri" w:ascii="Calibri" w:hAnsi="Calibri"/>
          <w:b w:val="false"/>
          <w:sz w:val="21"/>
          <w:szCs w:val="21"/>
          <w:lang w:val="en-US"/>
        </w:rPr>
        <w:t>K01812 K00041 K01685 K00874 K01625 K01812 K00041 K16849+K16850 K00874 K01625 K01812 K00041 K01685 K00874 K17463 K01812 K00041 K16849+K16850 K00874 K17463</w:t>
      </w:r>
    </w:p>
    <w:p>
      <w:pPr>
        <w:pStyle w:val="Normal"/>
        <w:bidi w:val="0"/>
        <w:spacing w:before="0" w:after="16"/>
        <w:ind w:start="-15" w:firstLine="299"/>
        <w:jc w:val="start"/>
        <w:rPr/>
      </w:pPr>
      <w:r>
        <w:rPr>
          <w:sz w:val="21"/>
          <w:szCs w:val="21"/>
          <w:lang w:val="en-US"/>
        </w:rPr>
        <w:t xml:space="preserve">In alternatives two and four, the K16849+K16850 is a </w:t>
      </w:r>
      <w:r>
        <w:rPr>
          <w:i/>
          <w:sz w:val="21"/>
          <w:szCs w:val="21"/>
          <w:lang w:val="en-US"/>
        </w:rPr>
        <w:t>complex</w:t>
      </w:r>
      <w:r>
        <w:rPr>
          <w:sz w:val="21"/>
          <w:szCs w:val="21"/>
          <w:lang w:val="en-US"/>
        </w:rPr>
        <w:t>, meaning both KO terms are required for the step to be available.</w:t>
      </w:r>
    </w:p>
    <w:p>
      <w:pPr>
        <w:pStyle w:val="Normal"/>
        <w:bidi w:val="0"/>
        <w:spacing w:before="0" w:after="352"/>
        <w:ind w:start="-15" w:firstLine="299"/>
        <w:jc w:val="start"/>
        <w:rPr/>
      </w:pPr>
      <w:r>
        <w:rPr>
          <w:sz w:val="21"/>
          <w:szCs w:val="21"/>
          <w:lang w:val="en-US"/>
        </w:rPr>
        <w:t xml:space="preserve">In case of seed complementarity, in </w:t>
      </w:r>
      <w:r>
        <w:rPr>
          <w:rFonts w:eastAsia="Calibri" w:cs="Calibri" w:ascii="Calibri" w:hAnsi="Calibri"/>
          <w:sz w:val="21"/>
          <w:szCs w:val="21"/>
          <w:lang w:val="en-US"/>
        </w:rPr>
        <w:t xml:space="preserve">microbetag </w:t>
      </w:r>
      <w:r>
        <w:rPr>
          <w:sz w:val="21"/>
          <w:szCs w:val="21"/>
          <w:lang w:val="en-US"/>
        </w:rPr>
        <w:t>we focus on the effect that a metabolic exchange between two taxa might have if the seed of the beneficiary taxon is linked to a KEGG MODULE. Therefore, the KOs that were found linked to modules were mapped to ModelSEED ids. The initial seed and non-seed sets that were exported as sets of ModelSEED ids were then mapped to KOs too. When the non-seed set of a genome (donor) provided a seed related to a KEGG module to another genome (beneficiary), this is considered a potential metabolic interaction.</w:t>
      </w:r>
    </w:p>
    <w:p>
      <w:pPr>
        <w:pStyle w:val="Normal"/>
        <w:bidi w:val="0"/>
        <w:jc w:val="start"/>
        <w:rPr/>
      </w:pPr>
      <w:r>
        <w:rPr/>
      </w:r>
      <w:r>
        <w:br w:type="page"/>
      </w:r>
    </w:p>
    <w:p>
      <w:pPr>
        <w:pStyle w:val="Normal"/>
        <w:bidi w:val="0"/>
        <w:spacing w:lineRule="auto" w:line="259" w:before="0" w:after="9"/>
        <w:ind w:hanging="0"/>
        <w:jc w:val="start"/>
        <w:rPr>
          <w:rFonts w:ascii="Liberation Serif" w:hAnsi="Liberation Serif"/>
        </w:rPr>
      </w:pPr>
      <w:r>
        <w:rPr>
          <w:b/>
          <w:bCs/>
          <w:sz w:val="21"/>
          <w:szCs w:val="21"/>
          <w:lang w:val="en-US"/>
        </w:rPr>
        <w:t>Supplementary Table 1:</w:t>
      </w:r>
      <w:r>
        <w:rPr>
          <w:sz w:val="21"/>
          <w:szCs w:val="21"/>
          <w:lang w:val="en-US"/>
        </w:rPr>
        <w:t xml:space="preserve"> Bin sequence files were mapped against GTDB using GTDB-tk. Chloroflexi refers to the GTDB taxonomy of: 54-19 sp001898225</w:t>
      </w:r>
    </w:p>
    <w:p>
      <w:pPr>
        <w:pStyle w:val="Normal"/>
        <w:bidi w:val="0"/>
        <w:spacing w:lineRule="auto" w:line="259" w:before="0" w:after="79"/>
        <w:ind w:start="0" w:hanging="0"/>
        <w:jc w:val="start"/>
        <w:rPr>
          <w:rFonts w:ascii="Liberation Serif" w:hAnsi="Liberation Serif"/>
        </w:rPr>
      </w:pPr>
      <w:r>
        <w:rPr/>
      </w:r>
    </w:p>
    <w:tbl>
      <w:tblPr>
        <w:tblW w:w="8190" w:type="dxa"/>
        <w:jc w:val="start"/>
        <w:tblInd w:w="0" w:type="dxa"/>
        <w:tblLayout w:type="fixed"/>
        <w:tblCellMar>
          <w:top w:w="28" w:type="dxa"/>
          <w:start w:w="28" w:type="dxa"/>
          <w:bottom w:w="28" w:type="dxa"/>
          <w:end w:w="28" w:type="dxa"/>
        </w:tblCellMar>
      </w:tblPr>
      <w:tblGrid>
        <w:gridCol w:w="2790"/>
        <w:gridCol w:w="2879"/>
        <w:gridCol w:w="2521"/>
      </w:tblGrid>
      <w:tr>
        <w:trPr>
          <w:trHeight w:val="431" w:hRule="atLeast"/>
        </w:trPr>
        <w:tc>
          <w:tcPr>
            <w:tcW w:w="8190" w:type="dxa"/>
            <w:gridSpan w:val="3"/>
            <w:tcBorders/>
            <w:shd w:fill="CCCCCC" w:val="clear"/>
            <w:vAlign w:val="center"/>
          </w:tcPr>
          <w:p>
            <w:pPr>
              <w:pStyle w:val="TableContents"/>
              <w:widowControl w:val="false"/>
              <w:jc w:val="center"/>
              <w:rPr>
                <w:rFonts w:ascii="Liberation Serif" w:hAnsi="Liberation Serif"/>
                <w:sz w:val="21"/>
                <w:szCs w:val="21"/>
              </w:rPr>
            </w:pPr>
            <w:r>
              <w:rPr>
                <w:b/>
                <w:bCs/>
                <w:sz w:val="21"/>
                <w:szCs w:val="21"/>
              </w:rPr>
              <w:t>Potential thiamine-related complements among Variovorax neighbors</w:t>
            </w:r>
          </w:p>
        </w:tc>
      </w:tr>
      <w:tr>
        <w:trPr>
          <w:trHeight w:val="446" w:hRule="atLeast"/>
        </w:trPr>
        <w:tc>
          <w:tcPr>
            <w:tcW w:w="2790" w:type="dxa"/>
            <w:tcBorders>
              <w:bottom w:val="single" w:sz="4" w:space="0" w:color="000000"/>
            </w:tcBorders>
            <w:shd w:fill="CCCCCC" w:val="clear"/>
            <w:tcMar>
              <w:top w:w="55" w:type="dxa"/>
              <w:start w:w="55" w:type="dxa"/>
              <w:bottom w:w="55" w:type="dxa"/>
              <w:end w:w="55" w:type="dxa"/>
            </w:tcMar>
            <w:vAlign w:val="center"/>
          </w:tcPr>
          <w:p>
            <w:pPr>
              <w:pStyle w:val="TableContents"/>
              <w:widowControl w:val="false"/>
              <w:rPr>
                <w:rFonts w:ascii="Liberation Serif" w:hAnsi="Liberation Serif"/>
                <w:sz w:val="21"/>
                <w:szCs w:val="21"/>
              </w:rPr>
            </w:pPr>
            <w:r>
              <w:rPr>
                <w:b/>
                <w:bCs/>
                <w:sz w:val="21"/>
                <w:szCs w:val="21"/>
              </w:rPr>
              <w:t>Beneficiary</w:t>
            </w:r>
          </w:p>
        </w:tc>
        <w:tc>
          <w:tcPr>
            <w:tcW w:w="2879" w:type="dxa"/>
            <w:tcBorders>
              <w:bottom w:val="single" w:sz="4" w:space="0" w:color="000000"/>
            </w:tcBorders>
            <w:shd w:fill="CCCCCC" w:val="clear"/>
            <w:tcMar>
              <w:top w:w="55" w:type="dxa"/>
              <w:start w:w="55" w:type="dxa"/>
              <w:bottom w:w="55" w:type="dxa"/>
              <w:end w:w="55" w:type="dxa"/>
            </w:tcMar>
            <w:vAlign w:val="center"/>
          </w:tcPr>
          <w:p>
            <w:pPr>
              <w:pStyle w:val="TableContents"/>
              <w:widowControl w:val="false"/>
              <w:rPr>
                <w:rFonts w:ascii="Liberation Serif" w:hAnsi="Liberation Serif"/>
                <w:sz w:val="21"/>
                <w:szCs w:val="21"/>
              </w:rPr>
            </w:pPr>
            <w:r>
              <w:rPr>
                <w:b/>
                <w:bCs/>
                <w:sz w:val="21"/>
                <w:szCs w:val="21"/>
              </w:rPr>
              <w:t>Donor</w:t>
            </w:r>
          </w:p>
        </w:tc>
        <w:tc>
          <w:tcPr>
            <w:tcW w:w="2521" w:type="dxa"/>
            <w:tcBorders>
              <w:bottom w:val="single" w:sz="4" w:space="0" w:color="000000"/>
            </w:tcBorders>
            <w:shd w:fill="CCCCCC" w:val="clear"/>
            <w:tcMar>
              <w:top w:w="55" w:type="dxa"/>
              <w:start w:w="55" w:type="dxa"/>
              <w:bottom w:w="55" w:type="dxa"/>
              <w:end w:w="55" w:type="dxa"/>
            </w:tcMar>
            <w:vAlign w:val="center"/>
          </w:tcPr>
          <w:p>
            <w:pPr>
              <w:pStyle w:val="TableContents"/>
              <w:widowControl w:val="false"/>
              <w:rPr>
                <w:rFonts w:ascii="Liberation Serif" w:hAnsi="Liberation Serif"/>
                <w:sz w:val="21"/>
                <w:szCs w:val="21"/>
              </w:rPr>
            </w:pPr>
            <w:r>
              <w:rPr>
                <w:b/>
                <w:bCs/>
                <w:sz w:val="21"/>
                <w:szCs w:val="21"/>
              </w:rPr>
              <w:t>potential complement</w:t>
            </w:r>
          </w:p>
        </w:tc>
      </w:tr>
      <w:tr>
        <w:trPr>
          <w:trHeight w:val="446" w:hRule="atLeast"/>
        </w:trPr>
        <w:tc>
          <w:tcPr>
            <w:tcW w:w="2790" w:type="dxa"/>
            <w:tcBorders/>
            <w:vAlign w:val="center"/>
          </w:tcPr>
          <w:p>
            <w:pPr>
              <w:pStyle w:val="TableContents"/>
              <w:widowControl w:val="false"/>
              <w:rPr>
                <w:rFonts w:ascii="Liberation Serif" w:hAnsi="Liberation Serif"/>
                <w:sz w:val="21"/>
                <w:szCs w:val="21"/>
              </w:rPr>
            </w:pPr>
            <w:r>
              <w:rPr>
                <w:i/>
                <w:iCs/>
                <w:sz w:val="21"/>
                <w:szCs w:val="21"/>
              </w:rPr>
              <w:t>Terrimonas ferruginea</w:t>
            </w:r>
          </w:p>
        </w:tc>
        <w:tc>
          <w:tcPr>
            <w:tcW w:w="2879" w:type="dxa"/>
            <w:tcBorders/>
            <w:vAlign w:val="center"/>
          </w:tcPr>
          <w:p>
            <w:pPr>
              <w:pStyle w:val="TableContents"/>
              <w:widowControl w:val="false"/>
              <w:rPr>
                <w:rFonts w:ascii="Liberation Serif" w:hAnsi="Liberation Serif"/>
                <w:sz w:val="21"/>
                <w:szCs w:val="21"/>
              </w:rPr>
            </w:pPr>
            <w:r>
              <w:rPr>
                <w:i/>
                <w:iCs/>
                <w:sz w:val="21"/>
                <w:szCs w:val="21"/>
              </w:rPr>
              <w:t xml:space="preserve">Tahibacter </w:t>
            </w:r>
            <w:r>
              <w:rPr>
                <w:sz w:val="21"/>
                <w:szCs w:val="21"/>
              </w:rPr>
              <w:t>sp001725155</w:t>
            </w:r>
          </w:p>
        </w:tc>
        <w:tc>
          <w:tcPr>
            <w:tcW w:w="2521" w:type="dxa"/>
            <w:tcBorders/>
            <w:vAlign w:val="center"/>
          </w:tcPr>
          <w:p>
            <w:pPr>
              <w:pStyle w:val="TableContents"/>
              <w:widowControl w:val="false"/>
              <w:rPr/>
            </w:pPr>
            <w:hyperlink r:id="rId4">
              <w:r>
                <w:rPr>
                  <w:rStyle w:val="InternetLink"/>
                  <w:sz w:val="21"/>
                  <w:szCs w:val="21"/>
                </w:rPr>
                <w:t>C01081</w:t>
              </w:r>
            </w:hyperlink>
          </w:p>
        </w:tc>
      </w:tr>
      <w:tr>
        <w:trPr>
          <w:trHeight w:val="446" w:hRule="atLeast"/>
        </w:trPr>
        <w:tc>
          <w:tcPr>
            <w:tcW w:w="2790" w:type="dxa"/>
            <w:tcBorders/>
            <w:vAlign w:val="center"/>
          </w:tcPr>
          <w:p>
            <w:pPr>
              <w:pStyle w:val="TableContents"/>
              <w:widowControl w:val="false"/>
              <w:rPr>
                <w:rFonts w:ascii="Liberation Serif" w:hAnsi="Liberation Serif"/>
                <w:sz w:val="21"/>
                <w:szCs w:val="21"/>
              </w:rPr>
            </w:pPr>
            <w:r>
              <w:rPr>
                <w:i/>
                <w:iCs/>
                <w:sz w:val="21"/>
                <w:szCs w:val="21"/>
              </w:rPr>
              <w:t>Terrimonas ferruginea</w:t>
            </w:r>
          </w:p>
        </w:tc>
        <w:tc>
          <w:tcPr>
            <w:tcW w:w="2879" w:type="dxa"/>
            <w:tcBorders/>
            <w:vAlign w:val="center"/>
          </w:tcPr>
          <w:p>
            <w:pPr>
              <w:pStyle w:val="TableContents"/>
              <w:widowControl w:val="false"/>
              <w:rPr>
                <w:rFonts w:ascii="Liberation Serif" w:hAnsi="Liberation Serif"/>
                <w:sz w:val="21"/>
                <w:szCs w:val="21"/>
              </w:rPr>
            </w:pPr>
            <w:r>
              <w:rPr>
                <w:i/>
                <w:iCs/>
                <w:sz w:val="21"/>
                <w:szCs w:val="21"/>
              </w:rPr>
              <w:t>Rhodoglobus</w:t>
            </w:r>
            <w:r>
              <w:rPr>
                <w:sz w:val="21"/>
                <w:szCs w:val="21"/>
              </w:rPr>
              <w:t xml:space="preserve"> sp001725325</w:t>
            </w:r>
          </w:p>
        </w:tc>
        <w:tc>
          <w:tcPr>
            <w:tcW w:w="2521" w:type="dxa"/>
            <w:tcBorders/>
            <w:vAlign w:val="center"/>
          </w:tcPr>
          <w:p>
            <w:pPr>
              <w:pStyle w:val="TableContents"/>
              <w:widowControl w:val="false"/>
              <w:rPr/>
            </w:pPr>
            <w:hyperlink r:id="rId5">
              <w:r>
                <w:rPr>
                  <w:rStyle w:val="InternetLink"/>
                  <w:sz w:val="21"/>
                  <w:szCs w:val="21"/>
                </w:rPr>
                <w:t>C01081</w:t>
              </w:r>
            </w:hyperlink>
          </w:p>
        </w:tc>
      </w:tr>
      <w:tr>
        <w:trPr>
          <w:trHeight w:val="446" w:hRule="atLeast"/>
        </w:trPr>
        <w:tc>
          <w:tcPr>
            <w:tcW w:w="2790" w:type="dxa"/>
            <w:tcBorders/>
            <w:vAlign w:val="center"/>
          </w:tcPr>
          <w:p>
            <w:pPr>
              <w:pStyle w:val="TableContents"/>
              <w:widowControl w:val="false"/>
              <w:rPr>
                <w:rFonts w:ascii="Liberation Serif" w:hAnsi="Liberation Serif"/>
                <w:sz w:val="21"/>
                <w:szCs w:val="21"/>
              </w:rPr>
            </w:pPr>
            <w:r>
              <w:rPr>
                <w:i/>
                <w:iCs/>
                <w:sz w:val="21"/>
                <w:szCs w:val="21"/>
              </w:rPr>
              <w:t>Nitrosospira</w:t>
            </w:r>
            <w:r>
              <w:rPr>
                <w:sz w:val="21"/>
                <w:szCs w:val="21"/>
              </w:rPr>
              <w:t xml:space="preserve"> sp001899235</w:t>
            </w:r>
          </w:p>
        </w:tc>
        <w:tc>
          <w:tcPr>
            <w:tcW w:w="2879" w:type="dxa"/>
            <w:tcBorders/>
            <w:vAlign w:val="center"/>
          </w:tcPr>
          <w:p>
            <w:pPr>
              <w:pStyle w:val="TableContents"/>
              <w:widowControl w:val="false"/>
              <w:rPr>
                <w:rFonts w:ascii="Liberation Serif" w:hAnsi="Liberation Serif"/>
                <w:sz w:val="21"/>
                <w:szCs w:val="21"/>
              </w:rPr>
            </w:pPr>
            <w:r>
              <w:rPr>
                <w:i/>
                <w:iCs/>
                <w:sz w:val="21"/>
                <w:szCs w:val="21"/>
              </w:rPr>
              <w:t>Bosea</w:t>
            </w:r>
            <w:r>
              <w:rPr>
                <w:sz w:val="21"/>
                <w:szCs w:val="21"/>
              </w:rPr>
              <w:t xml:space="preserve"> sp001898115</w:t>
            </w:r>
          </w:p>
        </w:tc>
        <w:tc>
          <w:tcPr>
            <w:tcW w:w="2521" w:type="dxa"/>
            <w:tcBorders/>
            <w:vAlign w:val="center"/>
          </w:tcPr>
          <w:p>
            <w:pPr>
              <w:pStyle w:val="TableContents"/>
              <w:widowControl w:val="false"/>
              <w:rPr/>
            </w:pPr>
            <w:hyperlink r:id="rId6">
              <w:r>
                <w:rPr>
                  <w:rStyle w:val="InternetLink"/>
                  <w:sz w:val="21"/>
                  <w:szCs w:val="21"/>
                </w:rPr>
                <w:t>C04327</w:t>
              </w:r>
            </w:hyperlink>
            <w:r>
              <w:rPr>
                <w:sz w:val="21"/>
                <w:szCs w:val="21"/>
              </w:rPr>
              <w:t>;</w:t>
            </w:r>
            <w:hyperlink r:id="rId7">
              <w:r>
                <w:rPr>
                  <w:rStyle w:val="InternetLink"/>
                  <w:sz w:val="21"/>
                  <w:szCs w:val="21"/>
                </w:rPr>
                <w:t>C01279</w:t>
              </w:r>
            </w:hyperlink>
          </w:p>
        </w:tc>
      </w:tr>
      <w:tr>
        <w:trPr>
          <w:trHeight w:val="446" w:hRule="atLeast"/>
        </w:trPr>
        <w:tc>
          <w:tcPr>
            <w:tcW w:w="2790" w:type="dxa"/>
            <w:tcBorders/>
            <w:vAlign w:val="center"/>
          </w:tcPr>
          <w:p>
            <w:pPr>
              <w:pStyle w:val="TableContents"/>
              <w:widowControl w:val="false"/>
              <w:rPr>
                <w:rFonts w:ascii="Liberation Serif" w:hAnsi="Liberation Serif"/>
                <w:sz w:val="21"/>
                <w:szCs w:val="21"/>
              </w:rPr>
            </w:pPr>
            <w:r>
              <w:rPr>
                <w:sz w:val="21"/>
                <w:szCs w:val="21"/>
              </w:rPr>
              <w:t>Chloroflexi</w:t>
            </w:r>
          </w:p>
        </w:tc>
        <w:tc>
          <w:tcPr>
            <w:tcW w:w="2879" w:type="dxa"/>
            <w:tcBorders/>
            <w:vAlign w:val="center"/>
          </w:tcPr>
          <w:p>
            <w:pPr>
              <w:pStyle w:val="TableContents"/>
              <w:widowControl w:val="false"/>
              <w:rPr>
                <w:rFonts w:ascii="Liberation Serif" w:hAnsi="Liberation Serif"/>
                <w:sz w:val="21"/>
                <w:szCs w:val="21"/>
              </w:rPr>
            </w:pPr>
            <w:r>
              <w:rPr>
                <w:i/>
                <w:iCs/>
                <w:sz w:val="21"/>
                <w:szCs w:val="21"/>
              </w:rPr>
              <w:t>Bosea</w:t>
            </w:r>
            <w:r>
              <w:rPr>
                <w:sz w:val="21"/>
                <w:szCs w:val="21"/>
              </w:rPr>
              <w:t xml:space="preserve"> sp001898115</w:t>
            </w:r>
          </w:p>
        </w:tc>
        <w:tc>
          <w:tcPr>
            <w:tcW w:w="2521" w:type="dxa"/>
            <w:tcBorders/>
            <w:vAlign w:val="center"/>
          </w:tcPr>
          <w:p>
            <w:pPr>
              <w:pStyle w:val="TableContents"/>
              <w:widowControl w:val="false"/>
              <w:rPr/>
            </w:pPr>
            <w:hyperlink r:id="rId8">
              <w:r>
                <w:rPr>
                  <w:rStyle w:val="InternetLink"/>
                  <w:sz w:val="21"/>
                  <w:szCs w:val="21"/>
                </w:rPr>
                <w:t>C15809</w:t>
              </w:r>
            </w:hyperlink>
          </w:p>
        </w:tc>
      </w:tr>
      <w:tr>
        <w:trPr>
          <w:trHeight w:val="446" w:hRule="atLeast"/>
        </w:trPr>
        <w:tc>
          <w:tcPr>
            <w:tcW w:w="2790" w:type="dxa"/>
            <w:tcBorders/>
            <w:vAlign w:val="center"/>
          </w:tcPr>
          <w:p>
            <w:pPr>
              <w:pStyle w:val="TableContents"/>
              <w:widowControl w:val="false"/>
              <w:rPr>
                <w:rFonts w:ascii="Liberation Serif" w:hAnsi="Liberation Serif"/>
                <w:sz w:val="21"/>
                <w:szCs w:val="21"/>
              </w:rPr>
            </w:pPr>
            <w:r>
              <w:rPr>
                <w:sz w:val="21"/>
                <w:szCs w:val="21"/>
              </w:rPr>
              <w:t>Chloroflexi</w:t>
            </w:r>
          </w:p>
        </w:tc>
        <w:tc>
          <w:tcPr>
            <w:tcW w:w="2879" w:type="dxa"/>
            <w:tcBorders/>
            <w:vAlign w:val="center"/>
          </w:tcPr>
          <w:p>
            <w:pPr>
              <w:pStyle w:val="TableContents"/>
              <w:widowControl w:val="false"/>
              <w:rPr>
                <w:rFonts w:ascii="Liberation Serif" w:hAnsi="Liberation Serif"/>
                <w:sz w:val="21"/>
                <w:szCs w:val="21"/>
              </w:rPr>
            </w:pPr>
            <w:r>
              <w:rPr>
                <w:sz w:val="21"/>
                <w:szCs w:val="21"/>
              </w:rPr>
              <w:t>Xanthobacteraceae</w:t>
            </w:r>
          </w:p>
        </w:tc>
        <w:tc>
          <w:tcPr>
            <w:tcW w:w="2521" w:type="dxa"/>
            <w:tcBorders/>
            <w:vAlign w:val="center"/>
          </w:tcPr>
          <w:p>
            <w:pPr>
              <w:pStyle w:val="TableContents"/>
              <w:widowControl w:val="false"/>
              <w:rPr/>
            </w:pPr>
            <w:hyperlink r:id="rId9">
              <w:r>
                <w:rPr>
                  <w:rStyle w:val="InternetLink"/>
                  <w:sz w:val="21"/>
                  <w:szCs w:val="21"/>
                </w:rPr>
                <w:t>C15809</w:t>
              </w:r>
            </w:hyperlink>
          </w:p>
        </w:tc>
      </w:tr>
      <w:tr>
        <w:trPr>
          <w:trHeight w:val="461" w:hRule="atLeast"/>
        </w:trPr>
        <w:tc>
          <w:tcPr>
            <w:tcW w:w="2790" w:type="dxa"/>
            <w:tcBorders/>
            <w:vAlign w:val="center"/>
          </w:tcPr>
          <w:p>
            <w:pPr>
              <w:pStyle w:val="TableContents"/>
              <w:widowControl w:val="false"/>
              <w:rPr>
                <w:rFonts w:ascii="Liberation Serif" w:hAnsi="Liberation Serif"/>
                <w:sz w:val="21"/>
                <w:szCs w:val="21"/>
              </w:rPr>
            </w:pPr>
            <w:r>
              <w:rPr>
                <w:sz w:val="21"/>
                <w:szCs w:val="21"/>
              </w:rPr>
              <w:t>Chloroflexi</w:t>
            </w:r>
          </w:p>
        </w:tc>
        <w:tc>
          <w:tcPr>
            <w:tcW w:w="2879" w:type="dxa"/>
            <w:tcBorders/>
            <w:vAlign w:val="center"/>
          </w:tcPr>
          <w:p>
            <w:pPr>
              <w:pStyle w:val="TableContents"/>
              <w:widowControl w:val="false"/>
              <w:rPr>
                <w:rFonts w:ascii="Liberation Serif" w:hAnsi="Liberation Serif"/>
                <w:sz w:val="21"/>
                <w:szCs w:val="21"/>
              </w:rPr>
            </w:pPr>
            <w:r>
              <w:rPr>
                <w:i/>
                <w:iCs/>
                <w:sz w:val="21"/>
                <w:szCs w:val="21"/>
              </w:rPr>
              <w:t>Nitrosospira</w:t>
            </w:r>
            <w:r>
              <w:rPr>
                <w:sz w:val="21"/>
                <w:szCs w:val="21"/>
              </w:rPr>
              <w:t xml:space="preserve"> sp001899235</w:t>
            </w:r>
          </w:p>
        </w:tc>
        <w:tc>
          <w:tcPr>
            <w:tcW w:w="2521" w:type="dxa"/>
            <w:tcBorders/>
            <w:vAlign w:val="center"/>
          </w:tcPr>
          <w:p>
            <w:pPr>
              <w:pStyle w:val="TableContents"/>
              <w:widowControl w:val="false"/>
              <w:rPr/>
            </w:pPr>
            <w:hyperlink r:id="rId10">
              <w:r>
                <w:rPr>
                  <w:rStyle w:val="InternetLink"/>
                  <w:sz w:val="21"/>
                  <w:szCs w:val="21"/>
                </w:rPr>
                <w:t>C15809</w:t>
              </w:r>
            </w:hyperlink>
          </w:p>
        </w:tc>
      </w:tr>
    </w:tbl>
    <w:p>
      <w:pPr>
        <w:pStyle w:val="Normal"/>
        <w:bidi w:val="0"/>
        <w:spacing w:lineRule="auto" w:line="259" w:before="0" w:after="79"/>
        <w:ind w:start="0" w:hanging="0"/>
        <w:jc w:val="start"/>
        <w:rPr>
          <w:rFonts w:ascii="Liberation Serif" w:hAnsi="Liberation Serif"/>
        </w:rPr>
      </w:pPr>
      <w:r>
        <w:rPr/>
      </w:r>
    </w:p>
    <w:p>
      <w:pPr>
        <w:pStyle w:val="Normal"/>
        <w:bidi w:val="0"/>
        <w:spacing w:lineRule="auto" w:line="259" w:before="0" w:after="79"/>
        <w:ind w:start="0" w:hanging="0"/>
        <w:jc w:val="start"/>
        <w:rPr>
          <w:rFonts w:ascii="Liberation Serif" w:hAnsi="Liberation Serif"/>
        </w:rPr>
      </w:pPr>
      <w:r>
        <w:rPr/>
      </w:r>
    </w:p>
    <w:p>
      <w:pPr>
        <w:pStyle w:val="Normal"/>
        <w:bidi w:val="0"/>
        <w:spacing w:lineRule="auto" w:line="259" w:before="0" w:after="79"/>
        <w:ind w:start="0" w:hanging="0"/>
        <w:jc w:val="start"/>
        <w:rPr>
          <w:rFonts w:ascii="Liberation Serif" w:hAnsi="Liberation Serif"/>
        </w:rPr>
      </w:pPr>
      <w:r>
        <w:rPr/>
      </w:r>
    </w:p>
    <w:p>
      <w:pPr>
        <w:pStyle w:val="Normal"/>
        <w:bidi w:val="0"/>
        <w:spacing w:lineRule="auto" w:line="259" w:before="0" w:after="79"/>
        <w:ind w:start="0" w:hanging="0"/>
        <w:jc w:val="start"/>
        <w:rPr>
          <w:rFonts w:ascii="Liberation Serif" w:hAnsi="Liberation Serif"/>
        </w:rPr>
      </w:pPr>
      <w:r>
        <w:rPr/>
      </w:r>
      <w:r>
        <w:br w:type="page"/>
      </w:r>
    </w:p>
    <w:p>
      <w:pPr>
        <w:pStyle w:val="Normal"/>
        <w:bidi w:val="0"/>
        <w:spacing w:before="0" w:after="2"/>
        <w:ind w:start="0" w:end="0" w:hanging="0"/>
        <w:jc w:val="both"/>
        <w:rPr>
          <w:rFonts w:ascii="Liberation Serif" w:hAnsi="Liberation Serif"/>
        </w:rPr>
      </w:pPr>
      <w:r>
        <w:rPr>
          <w:b/>
          <w:bCs/>
          <w:sz w:val="21"/>
          <w:szCs w:val="21"/>
          <w:lang w:val="en-US"/>
        </w:rPr>
        <w:t xml:space="preserve">Supplementary Table </w:t>
      </w:r>
      <w:r>
        <w:rPr>
          <w:b/>
          <w:bCs/>
          <w:sz w:val="21"/>
          <w:szCs w:val="21"/>
          <w:lang w:val="en-US"/>
        </w:rPr>
        <w:t>2</w:t>
      </w:r>
      <w:r>
        <w:rPr>
          <w:sz w:val="21"/>
          <w:szCs w:val="21"/>
          <w:lang w:val="en-US"/>
        </w:rPr>
        <w:t xml:space="preserve">: </w:t>
      </w:r>
      <w:r>
        <w:rPr>
          <w:i/>
          <w:iCs/>
          <w:sz w:val="21"/>
          <w:szCs w:val="21"/>
          <w:lang w:val="en-US"/>
        </w:rPr>
        <w:t xml:space="preserve">Variovorax </w:t>
      </w:r>
      <w:r>
        <w:rPr>
          <w:sz w:val="21"/>
          <w:szCs w:val="21"/>
          <w:lang w:val="en-US"/>
        </w:rPr>
        <w:t>genomes present in microbetagDB and their corresponding complete/incomplete presence of the pantothenate related KEGG modules. T</w:t>
      </w:r>
      <w:r>
        <w:rPr>
          <w:sz w:val="21"/>
          <w:szCs w:val="21"/>
        </w:rPr>
        <w:t>he genome that bin_55 was mapped to</w:t>
      </w:r>
      <w:r>
        <w:rPr>
          <w:sz w:val="21"/>
          <w:szCs w:val="21"/>
          <w:lang w:val="en-US"/>
        </w:rPr>
        <w:t xml:space="preserve"> is shown in bold</w:t>
      </w:r>
      <w:r>
        <w:rPr>
          <w:sz w:val="21"/>
          <w:szCs w:val="21"/>
        </w:rPr>
        <w:t>.</w:t>
      </w:r>
    </w:p>
    <w:p>
      <w:pPr>
        <w:pStyle w:val="Normal"/>
        <w:bidi w:val="0"/>
        <w:spacing w:before="0" w:after="2"/>
        <w:ind w:start="1578" w:end="1578" w:hanging="0"/>
        <w:jc w:val="start"/>
        <w:rPr>
          <w:rFonts w:ascii="Liberation Serif" w:hAnsi="Liberation Serif"/>
        </w:rPr>
      </w:pPr>
      <w:r>
        <w:rPr/>
      </w:r>
    </w:p>
    <w:tbl>
      <w:tblPr>
        <w:tblStyle w:val="PlainTable3"/>
        <w:tblW w:w="5526" w:type="dxa"/>
        <w:jc w:val="start"/>
        <w:tblInd w:w="1359" w:type="dxa"/>
        <w:tblLayout w:type="fixed"/>
        <w:tblCellMar>
          <w:top w:w="0" w:type="dxa"/>
          <w:start w:w="108" w:type="dxa"/>
          <w:bottom w:w="0" w:type="dxa"/>
          <w:end w:w="108" w:type="dxa"/>
        </w:tblCellMar>
        <w:tblLook w:val="04a0" w:noHBand="0" w:noVBand="1" w:firstColumn="1" w:lastRow="0" w:lastColumn="0" w:firstRow="1"/>
      </w:tblPr>
      <w:tblGrid>
        <w:gridCol w:w="2282"/>
        <w:gridCol w:w="1623"/>
        <w:gridCol w:w="1621"/>
      </w:tblGrid>
      <w:tr>
        <w:trPr>
          <w:trHeight w:val="278" w:hRule="atLeast"/>
        </w:trPr>
        <w:tc>
          <w:tcPr>
            <w:tcW w:w="2282" w:type="dxa"/>
            <w:cnfStyle w:val="001000000100" w:firstRow="0" w:lastRow="0" w:firstColumn="1" w:lastColumn="0" w:oddVBand="0" w:evenVBand="0" w:oddHBand="0" w:evenHBand="0" w:firstRowFirstColumn="1" w:firstRowLastColumn="0" w:lastRowFirstColumn="0" w:lastRowLastColumn="0"/>
            <w:tcBorders>
              <w:bottom w:val="single" w:sz="4" w:space="0" w:color="7F7F7F"/>
            </w:tcBorders>
          </w:tcPr>
          <w:p>
            <w:pPr>
              <w:pStyle w:val="Normal"/>
              <w:widowControl w:val="false"/>
              <w:suppressAutoHyphens w:val="true"/>
              <w:bidi w:val="0"/>
              <w:spacing w:lineRule="auto" w:line="259" w:before="0" w:after="0"/>
              <w:ind w:start="0" w:end="120" w:hanging="0"/>
              <w:jc w:val="center"/>
              <w:rPr>
                <w:rFonts w:ascii="Liberation Serif" w:hAnsi="Liberation Serif"/>
              </w:rPr>
            </w:pPr>
            <w:r>
              <w:rPr>
                <w:b/>
                <w:bCs/>
                <w:caps/>
                <w:kern w:val="2"/>
                <w:sz w:val="18"/>
                <w:szCs w:val="18"/>
                <w:lang w:val="el-GR" w:eastAsia="el-GR" w:bidi="ar-SA"/>
              </w:rPr>
              <w:t>Genome</w:t>
            </w:r>
          </w:p>
        </w:tc>
        <w:tc>
          <w:tcPr>
            <w:tcW w:w="1623" w:type="dxa"/>
            <w:cnfStyle w:val="000000000000" w:firstRow="0" w:lastRow="0" w:firstColumn="0" w:lastColumn="0" w:oddVBand="0" w:evenVBand="0" w:oddHBand="0" w:evenHBand="0" w:firstRowFirstColumn="0" w:firstRowLastColumn="0" w:lastRowFirstColumn="0" w:lastRowLastColumn="0"/>
            <w:tcBorders>
              <w:bottom w:val="single" w:sz="4" w:space="0" w:color="7F7F7F"/>
            </w:tcBorders>
          </w:tcPr>
          <w:p>
            <w:pPr>
              <w:pStyle w:val="Normal"/>
              <w:widowControl w:val="false"/>
              <w:suppressAutoHyphens w:val="true"/>
              <w:bidi w:val="0"/>
              <w:spacing w:lineRule="auto" w:line="259" w:before="0" w:after="0"/>
              <w:ind w:start="0" w:hanging="0"/>
              <w:jc w:val="both"/>
              <w:rPr>
                <w:rFonts w:ascii="Liberation Serif" w:hAnsi="Liberation Serif"/>
              </w:rPr>
            </w:pPr>
            <w:r>
              <w:rPr>
                <w:b/>
                <w:bCs/>
                <w:caps/>
                <w:kern w:val="2"/>
                <w:sz w:val="18"/>
                <w:szCs w:val="18"/>
                <w:lang w:val="el-GR" w:eastAsia="el-GR" w:bidi="ar-SA"/>
              </w:rPr>
              <w:t>md:M00119</w:t>
            </w:r>
          </w:p>
        </w:tc>
        <w:tc>
          <w:tcPr>
            <w:tcW w:w="1621" w:type="dxa"/>
            <w:cnfStyle w:val="000000000000" w:firstRow="0" w:lastRow="0" w:firstColumn="0" w:lastColumn="0" w:oddVBand="0" w:evenVBand="0" w:oddHBand="0" w:evenHBand="0" w:firstRowFirstColumn="0" w:firstRowLastColumn="0" w:lastRowFirstColumn="0" w:lastRowLastColumn="0"/>
            <w:tcBorders>
              <w:bottom w:val="single" w:sz="4" w:space="0" w:color="7F7F7F"/>
            </w:tcBorders>
          </w:tcPr>
          <w:p>
            <w:pPr>
              <w:pStyle w:val="Normal"/>
              <w:widowControl w:val="false"/>
              <w:suppressAutoHyphens w:val="true"/>
              <w:bidi w:val="0"/>
              <w:spacing w:lineRule="auto" w:line="259" w:before="0" w:after="0"/>
              <w:ind w:start="0" w:hanging="0"/>
              <w:jc w:val="start"/>
              <w:rPr>
                <w:rFonts w:ascii="Liberation Serif" w:hAnsi="Liberation Serif"/>
              </w:rPr>
            </w:pPr>
            <w:r>
              <w:rPr>
                <w:b/>
                <w:bCs/>
                <w:caps/>
                <w:kern w:val="2"/>
                <w:sz w:val="18"/>
                <w:szCs w:val="18"/>
                <w:lang w:val="el-GR" w:eastAsia="el-GR" w:bidi="ar-SA"/>
              </w:rPr>
              <w:t>md:M00913</w:t>
            </w:r>
          </w:p>
        </w:tc>
      </w:tr>
      <w:tr>
        <w:trPr>
          <w:trHeight w:val="209"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86" w:hanging="0"/>
              <w:jc w:val="center"/>
              <w:rPr>
                <w:rFonts w:ascii="Liberation Serif" w:hAnsi="Liberation Serif"/>
              </w:rPr>
            </w:pPr>
            <w:r>
              <w:rPr>
                <w:b w:val="false"/>
                <w:bCs w:val="false"/>
                <w:caps/>
                <w:kern w:val="2"/>
                <w:sz w:val="18"/>
                <w:szCs w:val="18"/>
                <w:lang w:val="el-GR" w:eastAsia="el-GR" w:bidi="ar-SA"/>
              </w:rPr>
              <w:t>GCA_004210915.1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0" w:end="41" w:hanging="0"/>
              <w:jc w:val="center"/>
              <w:rPr>
                <w:rFonts w:ascii="Liberation Serif" w:hAnsi="Liberation Serif"/>
              </w:rPr>
            </w:pPr>
            <w:r>
              <w:rPr>
                <w:kern w:val="2"/>
                <w:sz w:val="18"/>
                <w:szCs w:val="18"/>
                <w:lang w:val="el-GR" w:eastAsia="el-GR" w:bidi="ar-SA"/>
              </w:rPr>
              <w:t>incomplete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86" w:hanging="0"/>
              <w:jc w:val="center"/>
              <w:rPr>
                <w:rFonts w:ascii="Liberation Serif" w:hAnsi="Liberation Serif"/>
              </w:rPr>
            </w:pPr>
            <w:r>
              <w:rPr>
                <w:b w:val="false"/>
                <w:bCs w:val="false"/>
                <w:caps/>
                <w:kern w:val="2"/>
                <w:sz w:val="18"/>
                <w:szCs w:val="18"/>
                <w:lang w:val="el-GR" w:eastAsia="el-GR" w:bidi="ar-SA"/>
              </w:rPr>
              <w:t>GCA_902506565.1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0" w:end="41" w:hanging="0"/>
              <w:jc w:val="center"/>
              <w:rPr>
                <w:rFonts w:ascii="Liberation Serif" w:hAnsi="Liberation Serif"/>
              </w:rPr>
            </w:pPr>
            <w:r>
              <w:rPr>
                <w:kern w:val="2"/>
                <w:sz w:val="18"/>
                <w:szCs w:val="18"/>
                <w:lang w:val="el-GR" w:eastAsia="el-GR" w:bidi="ar-SA"/>
              </w:rPr>
              <w:t>incomplete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0" w:hanging="0"/>
              <w:jc w:val="center"/>
              <w:rPr>
                <w:rFonts w:ascii="Liberation Serif" w:hAnsi="Liberation Serif"/>
              </w:rPr>
            </w:pPr>
            <w:r>
              <w:rPr>
                <w:kern w:val="2"/>
                <w:sz w:val="18"/>
                <w:szCs w:val="18"/>
                <w:lang w:val="el-GR" w:eastAsia="el-GR" w:bidi="ar-SA"/>
              </w:rPr>
              <w:t>incomplete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GCF_000184745.1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GCF_000282635.1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GCF_000463015.1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GCF_000834655.1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GCF_001424835.1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GCF_001425205.1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GCF_001426505.1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 _001577265.1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0" w:end="41" w:hanging="0"/>
              <w:jc w:val="center"/>
              <w:rPr>
                <w:rFonts w:ascii="Liberation Serif" w:hAnsi="Liberation Serif"/>
              </w:rPr>
            </w:pPr>
            <w:r>
              <w:rPr>
                <w:kern w:val="2"/>
                <w:sz w:val="18"/>
                <w:szCs w:val="18"/>
                <w:lang w:val="el-GR" w:eastAsia="el-GR" w:bidi="ar-SA"/>
              </w:rPr>
              <w:t>incomplete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0" w:hanging="0"/>
              <w:jc w:val="center"/>
              <w:rPr>
                <w:rFonts w:ascii="Liberation Serif" w:hAnsi="Liberation Serif"/>
              </w:rPr>
            </w:pPr>
            <w:r>
              <w:rPr>
                <w:kern w:val="2"/>
                <w:sz w:val="18"/>
                <w:szCs w:val="18"/>
                <w:lang w:val="el-GR" w:eastAsia="el-GR" w:bidi="ar-SA"/>
              </w:rPr>
              <w:t>incomplete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 _002157355.1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GCF_002754375.1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GCF_003019815.1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0" w:end="41" w:hanging="0"/>
              <w:jc w:val="center"/>
              <w:rPr>
                <w:rFonts w:ascii="Liberation Serif" w:hAnsi="Liberation Serif"/>
              </w:rPr>
            </w:pPr>
            <w:r>
              <w:rPr>
                <w:kern w:val="2"/>
                <w:sz w:val="18"/>
                <w:szCs w:val="18"/>
                <w:lang w:val="el-GR" w:eastAsia="el-GR" w:bidi="ar-SA"/>
              </w:rPr>
              <w:t>incomplete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20" w:hanging="0"/>
              <w:jc w:val="center"/>
              <w:rPr>
                <w:rFonts w:ascii="Liberation Serif" w:hAnsi="Liberation Serif"/>
              </w:rPr>
            </w:pPr>
            <w:r>
              <w:rPr>
                <w:b/>
                <w:bCs/>
                <w:caps/>
                <w:kern w:val="2"/>
                <w:sz w:val="18"/>
                <w:szCs w:val="18"/>
                <w:lang w:val="el-GR" w:eastAsia="el-GR" w:bidi="ar-SA"/>
              </w:rPr>
              <w:t>GCA_001899795.1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0" w:end="6" w:hanging="0"/>
              <w:jc w:val="center"/>
              <w:rPr>
                <w:rFonts w:ascii="Liberation Serif" w:hAnsi="Liberation Serif"/>
              </w:rPr>
            </w:pPr>
            <w:r>
              <w:rPr>
                <w:b/>
                <w:bCs/>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14" w:hanging="0"/>
              <w:jc w:val="center"/>
              <w:rPr>
                <w:rFonts w:ascii="Liberation Serif" w:hAnsi="Liberation Serif"/>
              </w:rPr>
            </w:pPr>
            <w:r>
              <w:rPr>
                <w:b/>
                <w:bCs/>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GCF_003852515.1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GCF_003951285.1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 _003952165.1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GCF_003952185.1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GCF_003984625.1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GCF_003984645.1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GCF_006438845.1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GCF_007828835.1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GCF_009498455.1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GCF_009755665.1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GCF_010499245.1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GCF_013376045.1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GCF_014170375.1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GCF_014302995.1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GCF_014303735.1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0" w:end="41" w:hanging="0"/>
              <w:jc w:val="center"/>
              <w:rPr>
                <w:rFonts w:ascii="Liberation Serif" w:hAnsi="Liberation Serif"/>
              </w:rPr>
            </w:pPr>
            <w:r>
              <w:rPr>
                <w:kern w:val="2"/>
                <w:sz w:val="18"/>
                <w:szCs w:val="18"/>
                <w:lang w:val="el-GR" w:eastAsia="el-GR" w:bidi="ar-SA"/>
              </w:rPr>
              <w:t>incomplete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79" w:hanging="0"/>
              <w:jc w:val="center"/>
              <w:rPr>
                <w:rFonts w:ascii="Liberation Serif" w:hAnsi="Liberation Serif"/>
              </w:rPr>
            </w:pPr>
            <w:r>
              <w:rPr>
                <w:kern w:val="2"/>
                <w:sz w:val="18"/>
                <w:szCs w:val="18"/>
                <w:lang w:val="el-GR" w:eastAsia="el-GR" w:bidi="ar-SA"/>
              </w:rPr>
              <w:t>incomplete</w:t>
            </w:r>
          </w:p>
        </w:tc>
      </w:tr>
      <w:tr>
        <w:trPr>
          <w:trHeight w:val="190"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GCF_901827175.1</w:t>
            </w:r>
          </w:p>
        </w:tc>
        <w:tc>
          <w:tcPr>
            <w:tcW w:w="1623"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r>
        <w:trPr>
          <w:trHeight w:val="166" w:hRule="atLeast"/>
        </w:trPr>
        <w:tc>
          <w:tcPr>
            <w:tcW w:w="2282"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val="false"/>
              <w:suppressAutoHyphens w:val="true"/>
              <w:bidi w:val="0"/>
              <w:spacing w:lineRule="auto" w:line="259" w:before="0" w:after="0"/>
              <w:ind w:start="102" w:hanging="0"/>
              <w:jc w:val="center"/>
              <w:rPr>
                <w:rFonts w:ascii="Liberation Serif" w:hAnsi="Liberation Serif"/>
              </w:rPr>
            </w:pPr>
            <w:r>
              <w:rPr>
                <w:b w:val="false"/>
                <w:bCs w:val="false"/>
                <w:caps/>
                <w:kern w:val="2"/>
                <w:sz w:val="18"/>
                <w:szCs w:val="18"/>
                <w:lang w:val="el-GR" w:eastAsia="el-GR" w:bidi="ar-SA"/>
              </w:rPr>
              <w:t>GCF_ 901827205.1</w:t>
            </w:r>
          </w:p>
        </w:tc>
        <w:tc>
          <w:tcPr>
            <w:tcW w:w="1623"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101" w:hanging="0"/>
              <w:jc w:val="center"/>
              <w:rPr>
                <w:rFonts w:ascii="Liberation Serif" w:hAnsi="Liberation Serif"/>
              </w:rPr>
            </w:pPr>
            <w:r>
              <w:rPr>
                <w:kern w:val="2"/>
                <w:sz w:val="18"/>
                <w:szCs w:val="18"/>
                <w:lang w:val="el-GR" w:eastAsia="el-GR" w:bidi="ar-SA"/>
              </w:rPr>
              <w:t>complete</w:t>
            </w:r>
          </w:p>
        </w:tc>
        <w:tc>
          <w:tcPr>
            <w:tcW w:w="1621"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bidi w:val="0"/>
              <w:spacing w:lineRule="auto" w:line="259" w:before="0" w:after="0"/>
              <w:ind w:start="340" w:hanging="0"/>
              <w:jc w:val="start"/>
              <w:rPr>
                <w:rFonts w:ascii="Liberation Serif" w:hAnsi="Liberation Serif"/>
              </w:rPr>
            </w:pPr>
            <w:r>
              <w:rPr>
                <w:kern w:val="2"/>
                <w:sz w:val="18"/>
                <w:szCs w:val="18"/>
                <w:lang w:val="el-GR" w:eastAsia="el-GR" w:bidi="ar-SA"/>
              </w:rPr>
              <w:t>complete</w:t>
            </w:r>
          </w:p>
        </w:tc>
      </w:tr>
    </w:tbl>
    <w:p>
      <w:pPr>
        <w:pStyle w:val="Normal"/>
        <w:bidi w:val="0"/>
        <w:spacing w:lineRule="auto" w:line="259" w:before="0" w:after="79"/>
        <w:ind w:start="0" w:hanging="0"/>
        <w:jc w:val="start"/>
        <w:rPr>
          <w:rFonts w:ascii="Liberation Serif" w:hAnsi="Liberation Serif"/>
        </w:rPr>
      </w:pPr>
      <w:r>
        <w:rPr/>
      </w:r>
      <w:r>
        <w:br w:type="page"/>
      </w:r>
    </w:p>
    <w:p>
      <w:pPr>
        <w:pStyle w:val="Normal"/>
        <w:bidi w:val="0"/>
        <w:spacing w:lineRule="auto" w:line="259" w:before="0" w:after="79"/>
        <w:ind w:start="0" w:hanging="0"/>
        <w:jc w:val="start"/>
        <w:rPr>
          <w:rFonts w:ascii="Liberation Serif" w:hAnsi="Liberation Serif"/>
        </w:rPr>
      </w:pPr>
      <w:r>
        <w:rPr/>
      </w:r>
    </w:p>
    <w:p>
      <w:pPr>
        <w:pStyle w:val="Normal"/>
        <w:bidi w:val="0"/>
        <w:spacing w:lineRule="auto" w:line="259" w:before="0" w:after="79"/>
        <w:ind w:start="0" w:hanging="0"/>
        <w:jc w:val="start"/>
        <w:rPr>
          <w:rFonts w:ascii="Liberation Serif" w:hAnsi="Liberation Serif"/>
        </w:rPr>
      </w:pPr>
      <w:r>
        <w:rPr/>
      </w:r>
    </w:p>
    <w:p>
      <w:pPr>
        <w:pStyle w:val="Normal"/>
        <w:bidi w:val="0"/>
        <w:spacing w:lineRule="auto" w:line="259" w:before="0" w:after="79"/>
        <w:ind w:start="0" w:hanging="0"/>
        <w:jc w:val="start"/>
        <w:rPr>
          <w:rFonts w:ascii="Liberation Serif" w:hAnsi="Liberation Serif"/>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438404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1"/>
                    <a:stretch>
                      <a:fillRect/>
                    </a:stretch>
                  </pic:blipFill>
                  <pic:spPr bwMode="auto">
                    <a:xfrm>
                      <a:off x="0" y="0"/>
                      <a:ext cx="5731510" cy="4384040"/>
                    </a:xfrm>
                    <a:prstGeom prst="rect">
                      <a:avLst/>
                    </a:prstGeom>
                  </pic:spPr>
                </pic:pic>
              </a:graphicData>
            </a:graphic>
          </wp:anchor>
        </w:drawing>
      </w:r>
    </w:p>
    <w:p>
      <w:pPr>
        <w:pStyle w:val="Normal"/>
        <w:bidi w:val="0"/>
        <w:spacing w:lineRule="auto" w:line="264" w:before="0" w:after="621"/>
        <w:ind w:start="10" w:hanging="10"/>
        <w:jc w:val="both"/>
        <w:rPr>
          <w:rFonts w:ascii="Liberation Serif" w:hAnsi="Liberation Serif"/>
        </w:rPr>
      </w:pPr>
      <w:r>
        <w:rPr>
          <w:b/>
          <w:bCs/>
          <w:sz w:val="21"/>
          <w:szCs w:val="21"/>
          <w:lang w:val="en-US"/>
        </w:rPr>
        <w:t>Supplementary Fig. 1</w:t>
      </w:r>
      <w:r>
        <w:rPr>
          <w:sz w:val="21"/>
          <w:szCs w:val="21"/>
          <w:lang w:val="en-US"/>
        </w:rPr>
        <w:t xml:space="preserve">: </w:t>
      </w:r>
      <w:r>
        <w:rPr>
          <w:rFonts w:eastAsia="Calibri" w:cs="Calibri"/>
          <w:sz w:val="21"/>
          <w:szCs w:val="21"/>
          <w:lang w:val="en-US"/>
        </w:rPr>
        <w:t xml:space="preserve">microbetag </w:t>
      </w:r>
      <w:r>
        <w:rPr>
          <w:sz w:val="21"/>
          <w:szCs w:val="21"/>
          <w:lang w:val="en-US"/>
        </w:rPr>
        <w:t>software ecosystem. Three Docker containers are combined: a nginx web server connected to a MySQL database and the microbetag workflow. An API, as part of the last container, enables communication between the client (front) and the server side (back end). The content of the microbetagDB and the microbetag workflow are accessible through a web-browser, a terminal and a CytoscapeApp (MGG).</w:t>
      </w:r>
      <w:r>
        <w:br w:type="page"/>
      </w:r>
    </w:p>
    <w:p>
      <w:pPr>
        <w:pStyle w:val="Normal"/>
        <w:bidi w:val="0"/>
        <w:spacing w:lineRule="auto" w:line="264" w:before="0" w:after="621"/>
        <w:ind w:start="10" w:hanging="10"/>
        <w:jc w:val="both"/>
        <w:rPr>
          <w:rFonts w:ascii="Liberation Serif" w:hAnsi="Liberation Serif"/>
          <w:lang w:val="en-US"/>
        </w:rPr>
      </w:pPr>
      <w:r>
        <w:rPr>
          <w:lang w:val="en-US"/>
        </w:rPr>
      </w:r>
    </w:p>
    <w:p>
      <w:pPr>
        <w:pStyle w:val="Normal"/>
        <w:bidi w:val="0"/>
        <w:spacing w:lineRule="auto" w:line="259" w:before="0" w:after="77"/>
        <w:ind w:start="0" w:hanging="0"/>
        <w:jc w:val="start"/>
        <w:rPr>
          <w:rFonts w:ascii="Liberation Serif" w:hAnsi="Liberation Serif"/>
        </w:rPr>
      </w:pPr>
      <w:r>
        <w:rPr/>
        <w:drawing>
          <wp:inline distT="0" distB="0" distL="0" distR="0">
            <wp:extent cx="4236085" cy="2554605"/>
            <wp:effectExtent l="0" t="0" r="0" b="0"/>
            <wp:docPr id="2" name="Picture 22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23" descr="" title=""/>
                    <pic:cNvPicPr>
                      <a:picLocks noChangeAspect="1" noChangeArrowheads="1"/>
                    </pic:cNvPicPr>
                  </pic:nvPicPr>
                  <pic:blipFill>
                    <a:blip r:embed="rId12"/>
                    <a:stretch>
                      <a:fillRect/>
                    </a:stretch>
                  </pic:blipFill>
                  <pic:spPr bwMode="auto">
                    <a:xfrm>
                      <a:off x="0" y="0"/>
                      <a:ext cx="4236085" cy="2554605"/>
                    </a:xfrm>
                    <a:prstGeom prst="rect">
                      <a:avLst/>
                    </a:prstGeom>
                  </pic:spPr>
                </pic:pic>
              </a:graphicData>
            </a:graphic>
          </wp:inline>
        </w:drawing>
      </w:r>
    </w:p>
    <w:p>
      <w:pPr>
        <w:pStyle w:val="Normal"/>
        <w:bidi w:val="0"/>
        <w:ind w:start="-15" w:hanging="0"/>
        <w:jc w:val="start"/>
        <w:rPr>
          <w:rFonts w:ascii="Liberation Serif" w:hAnsi="Liberation Serif"/>
          <w:sz w:val="21"/>
          <w:szCs w:val="21"/>
        </w:rPr>
      </w:pPr>
      <w:r>
        <w:rPr>
          <w:b/>
          <w:bCs/>
          <w:sz w:val="21"/>
          <w:szCs w:val="21"/>
          <w:lang w:val="en-US"/>
        </w:rPr>
        <w:t>Supplementary Fig. 2</w:t>
      </w:r>
      <w:r>
        <w:rPr>
          <w:sz w:val="21"/>
          <w:szCs w:val="21"/>
          <w:lang w:val="en-US"/>
        </w:rPr>
        <w:t xml:space="preserve">: </w:t>
      </w:r>
      <w:r>
        <w:rPr>
          <w:i/>
          <w:iCs/>
          <w:sz w:val="21"/>
          <w:szCs w:val="21"/>
          <w:lang w:val="en-US"/>
        </w:rPr>
        <w:t xml:space="preserve">Variovorax </w:t>
      </w:r>
      <w:r>
        <w:rPr>
          <w:sz w:val="21"/>
          <w:szCs w:val="21"/>
          <w:lang w:val="en-US"/>
        </w:rPr>
        <w:t xml:space="preserve">node (bin_55) and its neighbors annotated by </w:t>
      </w:r>
      <w:r>
        <w:rPr>
          <w:rFonts w:eastAsia="Calibri" w:cs="Calibri"/>
          <w:sz w:val="21"/>
          <w:szCs w:val="21"/>
          <w:lang w:val="en-US"/>
        </w:rPr>
        <w:t>microbetag</w:t>
      </w:r>
      <w:r>
        <w:rPr>
          <w:sz w:val="21"/>
          <w:szCs w:val="21"/>
          <w:lang w:val="en-US"/>
        </w:rPr>
        <w:t xml:space="preserve">. Only three of them were not mapped to a GTDB representative genome (pink and purple nodes denoting genus and family taxonomic levels accordingly). Green edges represent the positive association weights. The black edges represent pairwise seed complementarities and scores.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s>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next w:val="Normal"/>
    <w:qFormat/>
    <w:pPr>
      <w:keepNext w:val="true"/>
      <w:keepLines/>
      <w:widowControl/>
      <w:suppressAutoHyphens w:val="true"/>
      <w:bidi w:val="0"/>
      <w:spacing w:lineRule="auto" w:line="264" w:before="0" w:after="73"/>
      <w:ind w:start="10" w:hanging="10"/>
      <w:jc w:val="start"/>
      <w:outlineLvl w:val="0"/>
    </w:pPr>
    <w:rPr>
      <w:rFonts w:ascii="Cambria" w:hAnsi="Cambria" w:eastAsia="Cambria" w:cs="Cambria"/>
      <w:b/>
      <w:color w:val="000000"/>
      <w:kern w:val="2"/>
      <w:sz w:val="29"/>
      <w:szCs w:val="24"/>
      <w:lang w:val="el-GR" w:eastAsia="el-GR" w:bidi="ar-SA"/>
    </w:rPr>
  </w:style>
  <w:style w:type="paragraph" w:styleId="Heading2">
    <w:name w:val="Heading 2"/>
    <w:next w:val="Normal"/>
    <w:qFormat/>
    <w:pPr>
      <w:keepNext w:val="true"/>
      <w:keepLines/>
      <w:widowControl/>
      <w:suppressAutoHyphens w:val="true"/>
      <w:bidi w:val="0"/>
      <w:spacing w:lineRule="auto" w:line="247" w:before="0" w:after="92"/>
      <w:ind w:start="10" w:hanging="10"/>
      <w:jc w:val="start"/>
      <w:outlineLvl w:val="1"/>
    </w:pPr>
    <w:rPr>
      <w:rFonts w:ascii="Cambria" w:hAnsi="Cambria" w:eastAsia="Cambria" w:cs="Cambria"/>
      <w:b/>
      <w:color w:val="000000"/>
      <w:kern w:val="2"/>
      <w:sz w:val="24"/>
      <w:szCs w:val="24"/>
      <w:lang w:val="el-GR" w:eastAsia="el-GR" w:bidi="ar-SA"/>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nome.jp/dbget-bin/www_bget?M00631" TargetMode="External"/><Relationship Id="rId3" Type="http://schemas.openxmlformats.org/officeDocument/2006/relationships/hyperlink" Target="https://www.genome.jp/dbget-bin/www_bget?M00631" TargetMode="External"/><Relationship Id="rId4" Type="http://schemas.openxmlformats.org/officeDocument/2006/relationships/hyperlink" Target="https://www.genome.jp/dbget-bin/www_bget?cpd:C01081" TargetMode="External"/><Relationship Id="rId5" Type="http://schemas.openxmlformats.org/officeDocument/2006/relationships/hyperlink" Target="https://www.genome.jp/dbget-bin/www_bget?cpd:C01081" TargetMode="External"/><Relationship Id="rId6" Type="http://schemas.openxmlformats.org/officeDocument/2006/relationships/hyperlink" Target="https://www.genome.jp/dbget-bin/www_bget?cpd:C04327" TargetMode="External"/><Relationship Id="rId7" Type="http://schemas.openxmlformats.org/officeDocument/2006/relationships/hyperlink" Target="https://www.genome.jp/dbget-bin/www_bget?cpd:C01279" TargetMode="External"/><Relationship Id="rId8" Type="http://schemas.openxmlformats.org/officeDocument/2006/relationships/hyperlink" Target="https://www.genome.jp/dbget-bin/www_bget?cpd:C15809" TargetMode="External"/><Relationship Id="rId9" Type="http://schemas.openxmlformats.org/officeDocument/2006/relationships/hyperlink" Target="https://www.genome.jp/dbget-bin/www_bget?cpd:C15809" TargetMode="External"/><Relationship Id="rId10" Type="http://schemas.openxmlformats.org/officeDocument/2006/relationships/hyperlink" Target="https://www.genome.jp/dbget-bin/www_bget?cpd:C15809" TargetMode="Externa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96</TotalTime>
  <Application>LibreOffice/7.3.7.2$Linux_X86_64 LibreOffice_project/30$Build-2</Application>
  <AppVersion>15.0000</AppVersion>
  <Pages>11</Pages>
  <Words>514</Words>
  <Characters>3467</Characters>
  <CharactersWithSpaces>3852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2024-05-27T11:38:39Z</dcterms:created>
  <dc:creator>Haris Zafeiropoulos</dc:creator>
  <dc:description/>
  <dc:language>en-US</dc:language>
  <cp:lastModifiedBy>Haris Zafeiropoulos</cp:lastModifiedBy>
  <dcterms:modified xsi:type="dcterms:W3CDTF">2024-05-28T12:04:33Z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