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Insurance Claims Analysis – Final Insights &amp; Recommendations</w:t>
      </w:r>
    </w:p>
    <w:p>
      <w:pPr>
        <w:pStyle w:val="Heading1"/>
      </w:pPr>
      <w:r>
        <w:t>Key Findings</w:t>
      </w:r>
    </w:p>
    <w:p>
      <w:pPr>
        <w:pStyle w:val="ListBullet"/>
      </w:pPr>
      <w:r>
        <w:t>Claim trends show higher activity during early months, with slight variations over time.</w:t>
      </w:r>
    </w:p>
    <w:p>
      <w:pPr>
        <w:pStyle w:val="ListBullet"/>
      </w:pPr>
      <w:r>
        <w:t>Certain states contribute more to total claims, indicating regional risk concentration.</w:t>
      </w:r>
    </w:p>
    <w:p>
      <w:pPr>
        <w:pStyle w:val="ListBullet"/>
      </w:pPr>
      <w:r>
        <w:t>Collision and similar incident types generate the highest number of claims.</w:t>
      </w:r>
    </w:p>
    <w:p>
      <w:pPr>
        <w:pStyle w:val="ListBullet"/>
      </w:pPr>
      <w:r>
        <w:t>Customers with lower deductibles tend to file more claims, indicating higher claim frequency.</w:t>
      </w:r>
    </w:p>
    <w:p>
      <w:pPr>
        <w:pStyle w:val="ListBullet"/>
      </w:pPr>
      <w:r>
        <w:t>There is a moderate relationship between policy premium and claim amount, where higher premiums often align with higher claim values.</w:t>
      </w:r>
    </w:p>
    <w:p>
      <w:pPr>
        <w:pStyle w:val="ListBullet"/>
      </w:pPr>
      <w:r>
        <w:t>Fraudulent claims represent a smaller portion of total claims but are associated with higher claim amounts and specific incident types.</w:t>
      </w:r>
    </w:p>
    <w:p>
      <w:pPr>
        <w:pStyle w:val="ListBullet"/>
      </w:pPr>
      <w:r>
        <w:t>Customer demographics such as occupation and education level show variation in claim behavior.</w:t>
      </w:r>
    </w:p>
    <w:p>
      <w:pPr>
        <w:pStyle w:val="Heading1"/>
      </w:pPr>
      <w:r>
        <w:t>Business Recommendations</w:t>
      </w:r>
    </w:p>
    <w:p>
      <w:pPr>
        <w:pStyle w:val="ListBullet"/>
      </w:pPr>
      <w:r>
        <w:t>Implement stronger fraud detection mechanisms for high-risk claims and specific incident types.</w:t>
      </w:r>
    </w:p>
    <w:p>
      <w:pPr>
        <w:pStyle w:val="ListBullet"/>
      </w:pPr>
      <w:r>
        <w:t>Adjust premium pricing based on customer risk profiles and claim history.</w:t>
      </w:r>
    </w:p>
    <w:p>
      <w:pPr>
        <w:pStyle w:val="ListBullet"/>
      </w:pPr>
      <w:r>
        <w:t>Encourage higher deductibles to reduce frequent small claims.</w:t>
      </w:r>
    </w:p>
    <w:p>
      <w:pPr>
        <w:pStyle w:val="ListBullet"/>
      </w:pPr>
      <w:r>
        <w:t>Focus on high-claim regions to optimize resource allocation and risk management.</w:t>
      </w:r>
    </w:p>
    <w:p>
      <w:pPr>
        <w:pStyle w:val="ListBullet"/>
      </w:pPr>
      <w:r>
        <w:t>Introduce stricter validation for high-value claims to minimize losses.</w:t>
      </w:r>
    </w:p>
    <w:p>
      <w:pPr>
        <w:pStyle w:val="ListBullet"/>
      </w:pPr>
      <w:r>
        <w:t>Leverage customer segmentation to design targeted insurance products and pricing strategies.</w:t>
      </w:r>
    </w:p>
    <w:p>
      <w:pPr>
        <w:pStyle w:val="ListBullet"/>
      </w:pPr>
      <w:r>
        <w:t>Continuously monitor claim trends to identify seasonal patterns and adjust policies accordingly.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