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Engagement Analysis – Insights Report</w:t>
      </w:r>
    </w:p>
    <w:p>
      <w:r>
        <w:t>1. Reels generate the highest engagement rate compared to images, videos, and stories, indicating that short-form video content is most effective.</w:t>
      </w:r>
    </w:p>
    <w:p>
      <w:r>
        <w:t>2. Posts with 5–15 hashtags tend to achieve better engagement, while excessive hashtags do not significantly improve performance.</w:t>
      </w:r>
    </w:p>
    <w:p>
      <w:r>
        <w:t>3. Caption length has a moderate impact on engagement, with medium-length captions performing slightly better than very short or very long ones.</w:t>
      </w:r>
    </w:p>
    <w:p>
      <w:r>
        <w:t>4. Monthly reach shows fluctuations, with a peak in April 2024 followed by a decline, indicating possible campaign impact or content inconsistency.</w:t>
      </w:r>
    </w:p>
    <w:p>
      <w:r>
        <w:t>5. Higher reach does not always translate to higher engagement, suggesting that content quality is more important than visibility alone.</w:t>
      </w:r>
    </w:p>
    <w:p>
      <w:r>
        <w:t>6. Follower growth does not directly guarantee increased engagement, highlighting the need for consistent and engaging content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