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pStyle w:val="Title"/>
      </w:pPr>
      <w:r>
        <w:t xml:space="preserve">CareMinds AI Platform</w:t>
      </w:r>
    </w:p>
    <w:p>
      <w:pPr>
        <w:pStyle w:val="Subtitle"/>
      </w:pPr>
      <w:r>
        <w:t xml:space="preserve">Technical Architecture, Capacity Analysis &amp; Production Deployment Roadmap</w:t>
      </w:r>
    </w:p>
    <w:p>
      <w:pPr>
        <w:spacing w:before="144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3000"/>
        <w:gridCol w:w="6360"/>
      </w:tblGrid>
      <w:tr>
        <w:tc>
          <w:tcPr>
            <w:tcW w:type="dxa" w:w="3000"/>
            <w:tcBorders>
              <w:top w:val="single" w:color="CBD5E0" w:sz="8"/>
              <w:left w:val="single" w:color="CBD5E0" w:sz="8"/>
              <w:bottom w:val="single" w:color="CBD5E0" w:sz="8"/>
              <w:right w:val="single" w:color="CBD5E0" w:sz="8"/>
            </w:tcBorders>
            <w:shd w:fill="EDF2F7" w:val="clear"/>
          </w:tcPr>
          <w:p>
            <w:r>
              <w:rPr>
                <w:b/>
                <w:bCs/>
                <w:sz w:val="20"/>
                <w:szCs w:val="20"/>
              </w:rPr>
              <w:t xml:space="preserve">Prepared For:</w:t>
            </w:r>
          </w:p>
        </w:tc>
        <w:tc>
          <w:tcPr>
            <w:tcW w:type="dxa" w:w="6360"/>
            <w:tcBorders>
              <w:top w:val="single" w:color="CBD5E0" w:sz="8"/>
              <w:left w:val="single" w:color="CBD5E0" w:sz="8"/>
              <w:bottom w:val="single" w:color="CBD5E0" w:sz="8"/>
              <w:right w:val="single" w:color="CBD5E0" w:sz="8"/>
            </w:tcBorders>
          </w:tcPr>
          <w:p>
            <w:r>
              <w:rPr>
                <w:sz w:val="20"/>
                <w:szCs w:val="20"/>
              </w:rPr>
              <w:t xml:space="preserve">Executive Stakeholders &amp; Client Project Team</w:t>
            </w:r>
          </w:p>
        </w:tc>
      </w:tr>
      <w:tr>
        <w:tc>
          <w:tcPr>
            <w:tcW w:type="dxa" w:w="3000"/>
            <w:tcBorders>
              <w:top w:val="single" w:color="CBD5E0" w:sz="8"/>
              <w:left w:val="single" w:color="CBD5E0" w:sz="8"/>
              <w:bottom w:val="single" w:color="CBD5E0" w:sz="8"/>
              <w:right w:val="single" w:color="CBD5E0" w:sz="8"/>
            </w:tcBorders>
            <w:shd w:fill="EDF2F7" w:val="clear"/>
          </w:tcPr>
          <w:p>
            <w:r>
              <w:rPr>
                <w:b/>
                <w:bCs/>
                <w:sz w:val="20"/>
                <w:szCs w:val="20"/>
              </w:rPr>
              <w:t xml:space="preserve">Prepared By:</w:t>
            </w:r>
          </w:p>
        </w:tc>
        <w:tc>
          <w:tcPr>
            <w:tcW w:type="dxa" w:w="6360"/>
            <w:tcBorders>
              <w:top w:val="single" w:color="CBD5E0" w:sz="8"/>
              <w:left w:val="single" w:color="CBD5E0" w:sz="8"/>
              <w:bottom w:val="single" w:color="CBD5E0" w:sz="8"/>
              <w:right w:val="single" w:color="CBD5E0" w:sz="8"/>
            </w:tcBorders>
          </w:tcPr>
          <w:p>
            <w:r>
              <w:rPr>
                <w:sz w:val="20"/>
                <w:szCs w:val="20"/>
              </w:rPr>
              <w:t xml:space="preserve">Technical Architecture &amp; DevOps Engineering Team</w:t>
            </w:r>
          </w:p>
        </w:tc>
      </w:tr>
      <w:tr>
        <w:tc>
          <w:tcPr>
            <w:tcW w:type="dxa" w:w="3000"/>
            <w:tcBorders>
              <w:top w:val="single" w:color="CBD5E0" w:sz="8"/>
              <w:left w:val="single" w:color="CBD5E0" w:sz="8"/>
              <w:bottom w:val="single" w:color="CBD5E0" w:sz="8"/>
              <w:right w:val="single" w:color="CBD5E0" w:sz="8"/>
            </w:tcBorders>
            <w:shd w:fill="EDF2F7" w:val="clear"/>
          </w:tcPr>
          <w:p>
            <w:r>
              <w:rPr>
                <w:b/>
                <w:bCs/>
                <w:sz w:val="20"/>
                <w:szCs w:val="20"/>
              </w:rPr>
              <w:t xml:space="preserve">Date:</w:t>
            </w:r>
          </w:p>
        </w:tc>
        <w:tc>
          <w:tcPr>
            <w:tcW w:type="dxa" w:w="6360"/>
            <w:tcBorders>
              <w:top w:val="single" w:color="CBD5E0" w:sz="8"/>
              <w:left w:val="single" w:color="CBD5E0" w:sz="8"/>
              <w:bottom w:val="single" w:color="CBD5E0" w:sz="8"/>
              <w:right w:val="single" w:color="CBD5E0" w:sz="8"/>
            </w:tcBorders>
          </w:tcPr>
          <w:p>
            <w:r>
              <w:rPr>
                <w:sz w:val="20"/>
                <w:szCs w:val="20"/>
              </w:rPr>
              <w:t xml:space="preserve">June 24, 2026</w:t>
            </w:r>
          </w:p>
        </w:tc>
      </w:tr>
      <w:tr>
        <w:tc>
          <w:tcPr>
            <w:tcW w:type="dxa" w:w="3000"/>
            <w:tcBorders>
              <w:top w:val="single" w:color="CBD5E0" w:sz="8"/>
              <w:left w:val="single" w:color="CBD5E0" w:sz="8"/>
              <w:bottom w:val="single" w:color="CBD5E0" w:sz="8"/>
              <w:right w:val="single" w:color="CBD5E0" w:sz="8"/>
            </w:tcBorders>
            <w:shd w:fill="EDF2F7" w:val="clear"/>
          </w:tcPr>
          <w:p>
            <w:r>
              <w:rPr>
                <w:b/>
                <w:bCs/>
                <w:sz w:val="20"/>
                <w:szCs w:val="20"/>
              </w:rPr>
              <w:t xml:space="preserve">Document Version:</w:t>
            </w:r>
          </w:p>
        </w:tc>
        <w:tc>
          <w:tcPr>
            <w:tcW w:type="dxa" w:w="6360"/>
            <w:tcBorders>
              <w:top w:val="single" w:color="CBD5E0" w:sz="8"/>
              <w:left w:val="single" w:color="CBD5E0" w:sz="8"/>
              <w:bottom w:val="single" w:color="CBD5E0" w:sz="8"/>
              <w:right w:val="single" w:color="CBD5E0" w:sz="8"/>
            </w:tcBorders>
          </w:tcPr>
          <w:p>
            <w:r>
              <w:rPr>
                <w:sz w:val="20"/>
                <w:szCs w:val="20"/>
              </w:rPr>
              <w:t xml:space="preserve">v1.0 (Production Release Candidate)</w:t>
            </w:r>
          </w:p>
        </w:tc>
      </w:tr>
    </w:tbl>
    <w:p>
      <w:r>
        <w:br w:type="page"/>
      </w:r>
    </w:p>
    <w:p>
      <w:pPr>
        <w:pStyle w:val="Heading1"/>
      </w:pPr>
      <w:r>
        <w:t xml:space="preserve">1. Executive Summary</w:t>
      </w:r>
    </w:p>
    <w:p>
      <w:pPr>
        <w:pStyle w:val="BodyText"/>
      </w:pPr>
      <w:r>
        <w:t xml:space="preserve">CareMinds AI is an advanced, enterprise-ready mental wellness platform designed to automate clinical assessments and provide personalized guidance. The platform administers four standard, evidence-based clinical scales (PHQ-9, GAD-7, WHO-5, and PSS-10) and uses cognitive agent reasoning to construct deep diagnostic insights. Additionally, a wellness coach powered by Retrieval-Augmented Generation (RAG) helps patients process their results and formulate developmental roadmaps.</w:t>
      </w:r>
    </w:p>
    <w:p>
      <w:pPr>
        <w:pStyle w:val="BodyText"/>
      </w:pPr>
      <w:r>
        <w:t xml:space="preserve">This report presents a thorough audit of the technology stack utilized in the current system, evaluates the operational capacity (concurrent and active user volumes) for the current development setup and the recommended production architecture, and outlines the cloud-native deployment strategy to scale the system for enterprise-grade performance, high reliability, and strict compliance.</w:t>
      </w:r>
    </w:p>
    <w:p>
      <w:pPr>
        <w:pStyle w:val="Heading1"/>
      </w:pPr>
      <w:r>
        <w:t xml:space="preserve">2. Technical Architecture &amp; Technology Stack</w:t>
      </w:r>
    </w:p>
    <w:p>
      <w:pPr>
        <w:pStyle w:val="BodyText"/>
      </w:pPr>
      <w:r>
        <w:t xml:space="preserve">The CareMinds AI system utilizes a modern, async-capable web architecture consisting of a high-performance REST backend and a rich, responsive multi-language front end. Below is a detailed breakdown of each layer in the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500"/>
        <w:gridCol w:w="2000"/>
        <w:gridCol w:w="3260"/>
        <w:gridCol w:w="2600"/>
      </w:tblGrid>
      <w:tr>
        <w:trPr>
          <w:tblHeader/>
        </w:trPr>
        <w:tc>
          <w:tcPr>
            <w:tcW w:type="dxa" w:w="1500"/>
            <w:tcBorders>
              <w:top w:val="single" w:color="CBD5E0" w:sz="8"/>
              <w:left w:val="single" w:color="CBD5E0" w:sz="8"/>
              <w:bottom w:val="single" w:color="CBD5E0" w:sz="8"/>
              <w:right w:val="single" w:color="CBD5E0" w:sz="8"/>
            </w:tcBorders>
            <w:shd w:fill="1A365D" w:val="clear"/>
          </w:tcPr>
          <w:p>
            <w:pPr>
              <w:pStyle w:val="TableHeaderText"/>
            </w:pPr>
            <w:r>
              <w:t xml:space="preserve">Component</w:t>
            </w:r>
          </w:p>
        </w:tc>
        <w:tc>
          <w:tcPr>
            <w:tcW w:type="dxa" w:w="2000"/>
            <w:tcBorders>
              <w:top w:val="single" w:color="CBD5E0" w:sz="8"/>
              <w:left w:val="single" w:color="CBD5E0" w:sz="8"/>
              <w:bottom w:val="single" w:color="CBD5E0" w:sz="8"/>
              <w:right w:val="single" w:color="CBD5E0" w:sz="8"/>
            </w:tcBorders>
            <w:shd w:fill="1A365D" w:val="clear"/>
          </w:tcPr>
          <w:p>
            <w:pPr>
              <w:pStyle w:val="TableHeaderText"/>
            </w:pPr>
            <w:r>
              <w:t xml:space="preserve">Technology</w:t>
            </w:r>
          </w:p>
        </w:tc>
        <w:tc>
          <w:tcPr>
            <w:tcW w:type="dxa" w:w="3260"/>
            <w:tcBorders>
              <w:top w:val="single" w:color="CBD5E0" w:sz="8"/>
              <w:left w:val="single" w:color="CBD5E0" w:sz="8"/>
              <w:bottom w:val="single" w:color="CBD5E0" w:sz="8"/>
              <w:right w:val="single" w:color="CBD5E0" w:sz="8"/>
            </w:tcBorders>
            <w:shd w:fill="1A365D" w:val="clear"/>
          </w:tcPr>
          <w:p>
            <w:pPr>
              <w:pStyle w:val="TableHeaderText"/>
            </w:pPr>
            <w:r>
              <w:t xml:space="preserve">Role in Platform</w:t>
            </w:r>
          </w:p>
        </w:tc>
        <w:tc>
          <w:tcPr>
            <w:tcW w:type="dxa" w:w="2600"/>
            <w:tcBorders>
              <w:top w:val="single" w:color="CBD5E0" w:sz="8"/>
              <w:left w:val="single" w:color="CBD5E0" w:sz="8"/>
              <w:bottom w:val="single" w:color="CBD5E0" w:sz="8"/>
              <w:right w:val="single" w:color="CBD5E0" w:sz="8"/>
            </w:tcBorders>
            <w:shd w:fill="1A365D" w:val="clear"/>
          </w:tcPr>
          <w:p>
            <w:pPr>
              <w:pStyle w:val="TableHeaderText"/>
            </w:pPr>
            <w:r>
              <w:t xml:space="preserve">Production Recommendation</w:t>
            </w:r>
          </w:p>
        </w:tc>
      </w:tr>
      <w:tr>
        <w:tc>
          <w:tcPr>
            <w:tcW w:type="dxa" w:w="1500"/>
            <w:tcBorders>
              <w:top w:val="single" w:color="CBD5E0" w:sz="8"/>
              <w:left w:val="single" w:color="CBD5E0" w:sz="8"/>
              <w:bottom w:val="single" w:color="CBD5E0" w:sz="8"/>
              <w:right w:val="single" w:color="CBD5E0" w:sz="8"/>
            </w:tcBorders>
          </w:tcPr>
          <w:p>
            <w:pPr>
              <w:pStyle w:val="TableCellTextBold"/>
            </w:pPr>
            <w:r>
              <w:t xml:space="preserve">Frontend</w:t>
            </w:r>
          </w:p>
        </w:tc>
        <w:tc>
          <w:tcPr>
            <w:tcW w:type="dxa" w:w="2000"/>
            <w:tcBorders>
              <w:top w:val="single" w:color="CBD5E0" w:sz="8"/>
              <w:left w:val="single" w:color="CBD5E0" w:sz="8"/>
              <w:bottom w:val="single" w:color="CBD5E0" w:sz="8"/>
              <w:right w:val="single" w:color="CBD5E0" w:sz="8"/>
            </w:tcBorders>
          </w:tcPr>
          <w:p>
            <w:pPr>
              <w:pStyle w:val="TableCellText"/>
            </w:pPr>
            <w:r>
              <w:t xml:space="preserve">HTML5, CSS3, JS, Tailwind CSS</w:t>
            </w:r>
          </w:p>
        </w:tc>
        <w:tc>
          <w:tcPr>
            <w:tcW w:type="dxa" w:w="3260"/>
            <w:tcBorders>
              <w:top w:val="single" w:color="CBD5E0" w:sz="8"/>
              <w:left w:val="single" w:color="CBD5E0" w:sz="8"/>
              <w:bottom w:val="single" w:color="CBD5E0" w:sz="8"/>
              <w:right w:val="single" w:color="CBD5E0" w:sz="8"/>
            </w:tcBorders>
          </w:tcPr>
          <w:p>
            <w:pPr>
              <w:pStyle w:val="TableCellText"/>
            </w:pPr>
            <w:r>
              <w:t xml:space="preserve">Provides high-fidelity responsive views, login/registration modals, and client-side multi-language translation (English, Tamil, Hindi, Malayalam, Telugu, Kannada).</w:t>
            </w:r>
          </w:p>
        </w:tc>
        <w:tc>
          <w:tcPr>
            <w:tcW w:type="dxa" w:w="2600"/>
            <w:tcBorders>
              <w:top w:val="single" w:color="CBD5E0" w:sz="8"/>
              <w:left w:val="single" w:color="CBD5E0" w:sz="8"/>
              <w:bottom w:val="single" w:color="CBD5E0" w:sz="8"/>
              <w:right w:val="single" w:color="CBD5E0" w:sz="8"/>
            </w:tcBorders>
          </w:tcPr>
          <w:p>
            <w:pPr>
              <w:pStyle w:val="TableCellText"/>
            </w:pPr>
            <w:r>
              <w:t xml:space="preserve">Compile CSS locally; deploy on CDN (e.g. Vercel, Netlify, or Cloudflare Pages) for optimal global performance.</w:t>
            </w:r>
          </w:p>
        </w:tc>
      </w:tr>
      <w:tr>
        <w:tc>
          <w:tcPr>
            <w:tcW w:type="dxa" w:w="1500"/>
            <w:tcBorders>
              <w:top w:val="single" w:color="CBD5E0" w:sz="8"/>
              <w:left w:val="single" w:color="CBD5E0" w:sz="8"/>
              <w:bottom w:val="single" w:color="CBD5E0" w:sz="8"/>
              <w:right w:val="single" w:color="CBD5E0" w:sz="8"/>
            </w:tcBorders>
          </w:tcPr>
          <w:p>
            <w:pPr>
              <w:pStyle w:val="TableCellTextBold"/>
            </w:pPr>
            <w:r>
              <w:t xml:space="preserve">Backend</w:t>
            </w:r>
          </w:p>
        </w:tc>
        <w:tc>
          <w:tcPr>
            <w:tcW w:type="dxa" w:w="2000"/>
            <w:tcBorders>
              <w:top w:val="single" w:color="CBD5E0" w:sz="8"/>
              <w:left w:val="single" w:color="CBD5E0" w:sz="8"/>
              <w:bottom w:val="single" w:color="CBD5E0" w:sz="8"/>
              <w:right w:val="single" w:color="CBD5E0" w:sz="8"/>
            </w:tcBorders>
          </w:tcPr>
          <w:p>
            <w:pPr>
              <w:pStyle w:val="TableCellText"/>
            </w:pPr>
            <w:r>
              <w:t xml:space="preserve">FastAPI (Python), Uvicorn</w:t>
            </w:r>
          </w:p>
        </w:tc>
        <w:tc>
          <w:tcPr>
            <w:tcW w:type="dxa" w:w="3260"/>
            <w:tcBorders>
              <w:top w:val="single" w:color="CBD5E0" w:sz="8"/>
              <w:left w:val="single" w:color="CBD5E0" w:sz="8"/>
              <w:bottom w:val="single" w:color="CBD5E0" w:sz="8"/>
              <w:right w:val="single" w:color="CBD5E0" w:sz="8"/>
            </w:tcBorders>
          </w:tcPr>
          <w:p>
            <w:pPr>
              <w:pStyle w:val="TableCellText"/>
            </w:pPr>
            <w:r>
              <w:t xml:space="preserve">Asynchronous ASGI application hosting all REST API endpoints for user authentication, profile setup, clinical session processing, and RAG chat.</w:t>
            </w:r>
          </w:p>
        </w:tc>
        <w:tc>
          <w:tcPr>
            <w:tcW w:type="dxa" w:w="2600"/>
            <w:tcBorders>
              <w:top w:val="single" w:color="CBD5E0" w:sz="8"/>
              <w:left w:val="single" w:color="CBD5E0" w:sz="8"/>
              <w:bottom w:val="single" w:color="CBD5E0" w:sz="8"/>
              <w:right w:val="single" w:color="CBD5E0" w:sz="8"/>
            </w:tcBorders>
          </w:tcPr>
          <w:p>
            <w:pPr>
              <w:pStyle w:val="TableCellText"/>
            </w:pPr>
            <w:r>
              <w:t xml:space="preserve">Containerize with Docker; deploy on Google Cloud Run or AWS ECS Fargate with a load balancer.</w:t>
            </w:r>
          </w:p>
        </w:tc>
      </w:tr>
      <w:tr>
        <w:tc>
          <w:tcPr>
            <w:tcW w:type="dxa" w:w="1500"/>
            <w:tcBorders>
              <w:top w:val="single" w:color="CBD5E0" w:sz="8"/>
              <w:left w:val="single" w:color="CBD5E0" w:sz="8"/>
              <w:bottom w:val="single" w:color="CBD5E0" w:sz="8"/>
              <w:right w:val="single" w:color="CBD5E0" w:sz="8"/>
            </w:tcBorders>
          </w:tcPr>
          <w:p>
            <w:pPr>
              <w:pStyle w:val="TableCellTextBold"/>
            </w:pPr>
            <w:r>
              <w:t xml:space="preserve">Database</w:t>
            </w:r>
          </w:p>
        </w:tc>
        <w:tc>
          <w:tcPr>
            <w:tcW w:type="dxa" w:w="2000"/>
            <w:tcBorders>
              <w:top w:val="single" w:color="CBD5E0" w:sz="8"/>
              <w:left w:val="single" w:color="CBD5E0" w:sz="8"/>
              <w:bottom w:val="single" w:color="CBD5E0" w:sz="8"/>
              <w:right w:val="single" w:color="CBD5E0" w:sz="8"/>
            </w:tcBorders>
          </w:tcPr>
          <w:p>
            <w:pPr>
              <w:pStyle w:val="TableCellText"/>
            </w:pPr>
            <w:r>
              <w:t xml:space="preserve">SQLite (Local File)</w:t>
            </w:r>
          </w:p>
        </w:tc>
        <w:tc>
          <w:tcPr>
            <w:tcW w:type="dxa" w:w="3260"/>
            <w:tcBorders>
              <w:top w:val="single" w:color="CBD5E0" w:sz="8"/>
              <w:left w:val="single" w:color="CBD5E0" w:sz="8"/>
              <w:bottom w:val="single" w:color="CBD5E0" w:sz="8"/>
              <w:right w:val="single" w:color="CBD5E0" w:sz="8"/>
            </w:tcBorders>
          </w:tcPr>
          <w:p>
            <w:pPr>
              <w:pStyle w:val="TableCellText"/>
            </w:pPr>
            <w:r>
              <w:t xml:space="preserve">Stores credentials, patient demographics, assessment session states, responses, and generated SOAP notes.</w:t>
            </w:r>
          </w:p>
        </w:tc>
        <w:tc>
          <w:tcPr>
            <w:tcW w:type="dxa" w:w="2600"/>
            <w:tcBorders>
              <w:top w:val="single" w:color="CBD5E0" w:sz="8"/>
              <w:left w:val="single" w:color="CBD5E0" w:sz="8"/>
              <w:bottom w:val="single" w:color="CBD5E0" w:sz="8"/>
              <w:right w:val="single" w:color="CBD5E0" w:sz="8"/>
            </w:tcBorders>
          </w:tcPr>
          <w:p>
            <w:pPr>
              <w:pStyle w:val="TableCellText"/>
            </w:pPr>
            <w:r>
              <w:t xml:space="preserve">Migrate to server-based PostgreSQL (Supabase or AWS RDS) to support high write concurrency.</w:t>
            </w:r>
          </w:p>
        </w:tc>
      </w:tr>
      <w:tr>
        <w:tc>
          <w:tcPr>
            <w:tcW w:type="dxa" w:w="1500"/>
            <w:tcBorders>
              <w:top w:val="single" w:color="CBD5E0" w:sz="8"/>
              <w:left w:val="single" w:color="CBD5E0" w:sz="8"/>
              <w:bottom w:val="single" w:color="CBD5E0" w:sz="8"/>
              <w:right w:val="single" w:color="CBD5E0" w:sz="8"/>
            </w:tcBorders>
          </w:tcPr>
          <w:p>
            <w:pPr>
              <w:pStyle w:val="TableCellTextBold"/>
            </w:pPr>
            <w:r>
              <w:t xml:space="preserve">AI Reasoning</w:t>
            </w:r>
          </w:p>
        </w:tc>
        <w:tc>
          <w:tcPr>
            <w:tcW w:type="dxa" w:w="2000"/>
            <w:tcBorders>
              <w:top w:val="single" w:color="CBD5E0" w:sz="8"/>
              <w:left w:val="single" w:color="CBD5E0" w:sz="8"/>
              <w:bottom w:val="single" w:color="CBD5E0" w:sz="8"/>
              <w:right w:val="single" w:color="CBD5E0" w:sz="8"/>
            </w:tcBorders>
          </w:tcPr>
          <w:p>
            <w:pPr>
              <w:pStyle w:val="TableCellText"/>
            </w:pPr>
            <w:r>
              <w:t xml:space="preserve">Groq API (Llama-3.3-70b-versatile)</w:t>
            </w:r>
          </w:p>
        </w:tc>
        <w:tc>
          <w:tcPr>
            <w:tcW w:type="dxa" w:w="3260"/>
            <w:tcBorders>
              <w:top w:val="single" w:color="CBD5E0" w:sz="8"/>
              <w:left w:val="single" w:color="CBD5E0" w:sz="8"/>
              <w:bottom w:val="single" w:color="CBD5E0" w:sz="8"/>
              <w:right w:val="single" w:color="CBD5E0" w:sz="8"/>
            </w:tcBorders>
          </w:tcPr>
          <w:p>
            <w:pPr>
              <w:pStyle w:val="TableCellText"/>
            </w:pPr>
            <w:r>
              <w:t xml:space="preserve">Powers safety detection (lexical + LLM), clinical scoring classification, SOAP note formatting, and DIRA report analysis.</w:t>
            </w:r>
          </w:p>
        </w:tc>
        <w:tc>
          <w:tcPr>
            <w:tcW w:type="dxa" w:w="2600"/>
            <w:tcBorders>
              <w:top w:val="single" w:color="CBD5E0" w:sz="8"/>
              <w:left w:val="single" w:color="CBD5E0" w:sz="8"/>
              <w:bottom w:val="single" w:color="CBD5E0" w:sz="8"/>
              <w:right w:val="single" w:color="CBD5E0" w:sz="8"/>
            </w:tcBorders>
          </w:tcPr>
          <w:p>
            <w:pPr>
              <w:pStyle w:val="TableCellText"/>
            </w:pPr>
            <w:r>
              <w:t xml:space="preserve">Obtain an Enterprise API tier on Groq for higher limits; implement request caching and token retry handlers.</w:t>
            </w:r>
          </w:p>
        </w:tc>
      </w:tr>
      <w:tr>
        <w:tc>
          <w:tcPr>
            <w:tcW w:type="dxa" w:w="1500"/>
            <w:tcBorders>
              <w:top w:val="single" w:color="CBD5E0" w:sz="8"/>
              <w:left w:val="single" w:color="CBD5E0" w:sz="8"/>
              <w:bottom w:val="single" w:color="CBD5E0" w:sz="8"/>
              <w:right w:val="single" w:color="CBD5E0" w:sz="8"/>
            </w:tcBorders>
          </w:tcPr>
          <w:p>
            <w:pPr>
              <w:pStyle w:val="TableCellTextBold"/>
            </w:pPr>
            <w:r>
              <w:t xml:space="preserve">Vector DB</w:t>
            </w:r>
          </w:p>
        </w:tc>
        <w:tc>
          <w:tcPr>
            <w:tcW w:type="dxa" w:w="2000"/>
            <w:tcBorders>
              <w:top w:val="single" w:color="CBD5E0" w:sz="8"/>
              <w:left w:val="single" w:color="CBD5E0" w:sz="8"/>
              <w:bottom w:val="single" w:color="CBD5E0" w:sz="8"/>
              <w:right w:val="single" w:color="CBD5E0" w:sz="8"/>
            </w:tcBorders>
          </w:tcPr>
          <w:p>
            <w:pPr>
              <w:pStyle w:val="TableCellText"/>
            </w:pPr>
            <w:r>
              <w:t xml:space="preserve">FAISS (Local), HuggingFace Embeddings</w:t>
            </w:r>
          </w:p>
        </w:tc>
        <w:tc>
          <w:tcPr>
            <w:tcW w:type="dxa" w:w="3260"/>
            <w:tcBorders>
              <w:top w:val="single" w:color="CBD5E0" w:sz="8"/>
              <w:left w:val="single" w:color="CBD5E0" w:sz="8"/>
              <w:bottom w:val="single" w:color="CBD5E0" w:sz="8"/>
              <w:right w:val="single" w:color="CBD5E0" w:sz="8"/>
            </w:tcBorders>
          </w:tcPr>
          <w:p>
            <w:pPr>
              <w:pStyle w:val="TableCellText"/>
            </w:pPr>
            <w:r>
              <w:t xml:space="preserve">Extracts and hashes text chunks from local mental health reference PDFs, generates embeddings on startup, and performs similarity checks.</w:t>
            </w:r>
          </w:p>
        </w:tc>
        <w:tc>
          <w:tcPr>
            <w:tcW w:type="dxa" w:w="2600"/>
            <w:tcBorders>
              <w:top w:val="single" w:color="CBD5E0" w:sz="8"/>
              <w:left w:val="single" w:color="CBD5E0" w:sz="8"/>
              <w:bottom w:val="single" w:color="CBD5E0" w:sz="8"/>
              <w:right w:val="single" w:color="CBD5E0" w:sz="8"/>
            </w:tcBorders>
          </w:tcPr>
          <w:p>
            <w:pPr>
              <w:pStyle w:val="TableCellText"/>
            </w:pPr>
            <w:r>
              <w:t xml:space="preserve">Offload search to a managed vector DB (pgvector on Supabase, or Pinecone); move embeddings to cloud API.</w:t>
            </w:r>
          </w:p>
        </w:tc>
      </w:tr>
    </w:tbl>
    <w:p>
      <w:r>
        <w:br w:type="page"/>
      </w:r>
    </w:p>
    <w:p>
      <w:pPr>
        <w:pStyle w:val="Heading1"/>
      </w:pPr>
      <w:r>
        <w:t xml:space="preserve">3. Capacity Analysis (Development vs. Production Target)</w:t>
      </w:r>
    </w:p>
    <w:p>
      <w:pPr>
        <w:pStyle w:val="BodyText"/>
      </w:pPr>
      <w:r>
        <w:t xml:space="preserve">Deploying a healthcare application requires identifying potential architectural bottlenecks. Below is an audit comparing the capacity of the current development prototype with the capability of the recommended target production-grade stack.</w:t>
      </w:r>
    </w:p>
    <w:p>
      <w:pPr>
        <w:pStyle w:val="Heading2"/>
      </w:pPr>
      <w:r>
        <w:t xml:space="preserve">Current Capacity (As-Is Architecture)</w:t>
      </w:r>
    </w:p>
    <w:p>
      <w:pPr>
        <w:pStyle w:val="BodyText"/>
      </w:pPr>
      <w:r>
        <w:t xml:space="preserve">In the current prototype, the backend runs as a single-process server referencing a local SQLite file and running CPU-based embedding generation. This creates severe performance limitations:</w:t>
      </w:r>
    </w:p>
    <w:p>
      <w:pPr>
        <w:pStyle w:val="ListParagraph"/>
        <w:numPr>
          <w:ilvl w:val="0"/>
          <w:numId w:val="2"/>
        </w:numPr>
      </w:pPr>
      <w:r>
        <w:rPr>
          <w:b/>
          <w:bCs/>
        </w:rPr>
        <w:t xml:space="preserve">Database Locks: </w:t>
      </w:r>
      <w:r>
        <w:t xml:space="preserve">SQLite writes are sequential. When multiple patients submit scale answers or update profiles simultaneously, database write-locks will cause transaction failures.</w:t>
      </w:r>
    </w:p>
    <w:p>
      <w:pPr>
        <w:pStyle w:val="ListParagraph"/>
        <w:numPr>
          <w:ilvl w:val="0"/>
          <w:numId w:val="2"/>
        </w:numPr>
      </w:pPr>
      <w:r>
        <w:rPr>
          <w:b/>
          <w:bCs/>
        </w:rPr>
        <w:t xml:space="preserve">CPU Embedding Bottleneck: </w:t>
      </w:r>
      <w:r>
        <w:t xml:space="preserve">Calculating sentence embeddings using the all-MiniLM-L6-v2 model locally on the web server's CPU is a heavy, synchronous operation. A sudden surge in user requests will block the event loop and lead to timeouts.</w:t>
      </w:r>
    </w:p>
    <w:p>
      <w:pPr>
        <w:pStyle w:val="ListParagraph"/>
        <w:numPr>
          <w:ilvl w:val="0"/>
          <w:numId w:val="2"/>
        </w:numPr>
      </w:pPr>
      <w:r>
        <w:rPr>
          <w:b/>
          <w:bCs/>
        </w:rPr>
        <w:t xml:space="preserve">Memory Bound: </w:t>
      </w:r>
      <w:r>
        <w:t xml:space="preserve">The FAISS index is loaded directly in python memory. As the knowledge base grows (e.g. hundreds of research files), the container memory usage will scale linearly, leading to Out-Of-Memory (OOM) crashes.</w:t>
      </w:r>
    </w:p>
    <w:p>
      <w:pPr>
        <w:pStyle w:val="ListParagraph"/>
        <w:numPr>
          <w:ilvl w:val="0"/>
          <w:numId w:val="2"/>
        </w:numPr>
      </w:pPr>
      <w:r>
        <w:rPr>
          <w:b/>
          <w:bCs/>
        </w:rPr>
        <w:t xml:space="preserve">API Rate Limits: </w:t>
      </w:r>
      <w:r>
        <w:t xml:space="preserve">The free tier of the Groq API has a cap of 14,400 tokens per minute, which can be reached in just 5 to 10 concurrent requests during clinical SOAP note generation.</w:t>
      </w:r>
    </w:p>
    <w:p>
      <w:pPr>
        <w:pStyle w:val="BodyText"/>
      </w:pPr>
      <w:r>
        <w:t xml:space="preserve">Under this current setup, the application can handle a maximum of 5 to 10 concurrent users. Scaling beyond this will result in transaction failures or extreme response delays (over 5 seconds).</w:t>
      </w:r>
    </w:p>
    <w:p>
      <w:pPr>
        <w:pStyle w:val="Heading2"/>
      </w:pPr>
      <w:r>
        <w:t xml:space="preserve">Production Capacity (Target Scaled Architecture)</w:t>
      </w:r>
    </w:p>
    <w:p>
      <w:pPr>
        <w:pStyle w:val="BodyText"/>
      </w:pPr>
      <w:r>
        <w:t xml:space="preserve">By moving from a single-node local setup to a decoupled, cloud-native architecture, capacity bottlenecks are resolved:</w:t>
      </w:r>
    </w:p>
    <w:p>
      <w:pPr>
        <w:pStyle w:val="ListParagraph"/>
        <w:numPr>
          <w:ilvl w:val="0"/>
          <w:numId w:val="2"/>
        </w:numPr>
      </w:pPr>
      <w:r>
        <w:rPr>
          <w:b/>
          <w:bCs/>
        </w:rPr>
        <w:t xml:space="preserve">PostgreSQL Database: </w:t>
      </w:r>
      <w:r>
        <w:t xml:space="preserve">Transitioning to PostgreSQL allows thousands of concurrent read-write connections. Connection pooling handles high peak traffic seamlessly.</w:t>
      </w:r>
    </w:p>
    <w:p>
      <w:pPr>
        <w:pStyle w:val="ListParagraph"/>
        <w:numPr>
          <w:ilvl w:val="0"/>
          <w:numId w:val="2"/>
        </w:numPr>
      </w:pPr>
      <w:r>
        <w:rPr>
          <w:b/>
          <w:bCs/>
        </w:rPr>
        <w:t xml:space="preserve">Cloud Vector Search: </w:t>
      </w:r>
      <w:r>
        <w:t xml:space="preserve">Offloading embeddings to a managed service (pgvector on PostgreSQL or Pinecone) eliminates CPU-based calculation bottlenecks and keeps memory consumption of the FastAPI server low.</w:t>
      </w:r>
    </w:p>
    <w:p>
      <w:pPr>
        <w:pStyle w:val="ListParagraph"/>
        <w:numPr>
          <w:ilvl w:val="0"/>
          <w:numId w:val="2"/>
        </w:numPr>
      </w:pPr>
      <w:r>
        <w:rPr>
          <w:b/>
          <w:bCs/>
        </w:rPr>
        <w:t xml:space="preserve">Asynchronous Job Queues: </w:t>
      </w:r>
      <w:r>
        <w:t xml:space="preserve">Moving heavy tasks like SOAP note generation, DIRA analysis, and PDF compiling to background workers (Celery + Redis) keeps API response times under 1 second.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500"/>
        <w:gridCol w:w="3430"/>
        <w:gridCol w:w="3430"/>
      </w:tblGrid>
      <w:tr>
        <w:trPr>
          <w:tblHeader/>
        </w:trPr>
        <w:tc>
          <w:tcPr>
            <w:tcW w:type="dxa" w:w="2500"/>
            <w:tcBorders>
              <w:top w:val="single" w:color="CBD5E0" w:sz="8"/>
              <w:left w:val="single" w:color="CBD5E0" w:sz="8"/>
              <w:bottom w:val="single" w:color="CBD5E0" w:sz="8"/>
              <w:right w:val="single" w:color="CBD5E0" w:sz="8"/>
            </w:tcBorders>
            <w:shd w:fill="1A365D" w:val="clear"/>
          </w:tcPr>
          <w:p>
            <w:pPr>
              <w:pStyle w:val="TableHeaderText"/>
            </w:pPr>
            <w:r>
              <w:t xml:space="preserve">Metric</w:t>
            </w:r>
          </w:p>
        </w:tc>
        <w:tc>
          <w:tcPr>
            <w:tcW w:type="dxa" w:w="3430"/>
            <w:tcBorders>
              <w:top w:val="single" w:color="CBD5E0" w:sz="8"/>
              <w:left w:val="single" w:color="CBD5E0" w:sz="8"/>
              <w:bottom w:val="single" w:color="CBD5E0" w:sz="8"/>
              <w:right w:val="single" w:color="CBD5E0" w:sz="8"/>
            </w:tcBorders>
            <w:shd w:fill="1A365D" w:val="clear"/>
          </w:tcPr>
          <w:p>
            <w:pPr>
              <w:pStyle w:val="TableHeaderText"/>
            </w:pPr>
            <w:r>
              <w:t xml:space="preserve">Development Stack (As-Is)</w:t>
            </w:r>
          </w:p>
        </w:tc>
        <w:tc>
          <w:tcPr>
            <w:tcW w:type="dxa" w:w="3430"/>
            <w:tcBorders>
              <w:top w:val="single" w:color="CBD5E0" w:sz="8"/>
              <w:left w:val="single" w:color="CBD5E0" w:sz="8"/>
              <w:bottom w:val="single" w:color="CBD5E0" w:sz="8"/>
              <w:right w:val="single" w:color="CBD5E0" w:sz="8"/>
            </w:tcBorders>
            <w:shd w:fill="1A365D" w:val="clear"/>
          </w:tcPr>
          <w:p>
            <w:pPr>
              <w:pStyle w:val="TableHeaderText"/>
            </w:pPr>
            <w:r>
              <w:t xml:space="preserve">Production Stack (Scaled Target)</w:t>
            </w:r>
          </w:p>
        </w:tc>
      </w:tr>
      <w:tr>
        <w:tc>
          <w:tcPr>
            <w:tcW w:type="dxa" w:w="2500"/>
            <w:tcBorders>
              <w:top w:val="single" w:color="CBD5E0" w:sz="8"/>
              <w:left w:val="single" w:color="CBD5E0" w:sz="8"/>
              <w:bottom w:val="single" w:color="CBD5E0" w:sz="8"/>
              <w:right w:val="single" w:color="CBD5E0" w:sz="8"/>
            </w:tcBorders>
          </w:tcPr>
          <w:p>
            <w:pPr>
              <w:pStyle w:val="TableCellTextBold"/>
            </w:pPr>
            <w:r>
              <w:t xml:space="preserve">Max Concurrent Users</w:t>
            </w:r>
          </w:p>
        </w:tc>
        <w:tc>
          <w:tcPr>
            <w:tcW w:type="dxa" w:w="3430"/>
            <w:tcBorders>
              <w:top w:val="single" w:color="CBD5E0" w:sz="8"/>
              <w:left w:val="single" w:color="CBD5E0" w:sz="8"/>
              <w:bottom w:val="single" w:color="CBD5E0" w:sz="8"/>
              <w:right w:val="single" w:color="CBD5E0" w:sz="8"/>
            </w:tcBorders>
          </w:tcPr>
          <w:p>
            <w:pPr>
              <w:pStyle w:val="TableCellText"/>
            </w:pPr>
            <w:r>
              <w:t xml:space="preserve">5 - 10 users
(Blocked by SQLite write locks and local CPU embedding calculations)</w:t>
            </w:r>
          </w:p>
        </w:tc>
        <w:tc>
          <w:tcPr>
            <w:tcW w:type="dxa" w:w="3430"/>
            <w:tcBorders>
              <w:top w:val="single" w:color="CBD5E0" w:sz="8"/>
              <w:left w:val="single" w:color="CBD5E0" w:sz="8"/>
              <w:bottom w:val="single" w:color="CBD5E0" w:sz="8"/>
              <w:right w:val="single" w:color="CBD5E0" w:sz="8"/>
            </w:tcBorders>
          </w:tcPr>
          <w:p>
            <w:pPr>
              <w:pStyle w:val="TableCellText"/>
            </w:pPr>
            <w:r>
              <w:t xml:space="preserve">500 - 1,000+ users
(Supported by load-balanced FastAPI, connection pooling, and external vector database)</w:t>
            </w:r>
          </w:p>
        </w:tc>
      </w:tr>
      <w:tr>
        <w:tc>
          <w:tcPr>
            <w:tcW w:type="dxa" w:w="2500"/>
            <w:tcBorders>
              <w:top w:val="single" w:color="CBD5E0" w:sz="8"/>
              <w:left w:val="single" w:color="CBD5E0" w:sz="8"/>
              <w:bottom w:val="single" w:color="CBD5E0" w:sz="8"/>
              <w:right w:val="single" w:color="CBD5E0" w:sz="8"/>
            </w:tcBorders>
          </w:tcPr>
          <w:p>
            <w:pPr>
              <w:pStyle w:val="TableCellTextBold"/>
            </w:pPr>
            <w:r>
              <w:t xml:space="preserve">Daily Active Users (DAU)</w:t>
            </w:r>
          </w:p>
        </w:tc>
        <w:tc>
          <w:tcPr>
            <w:tcW w:type="dxa" w:w="3430"/>
            <w:tcBorders>
              <w:top w:val="single" w:color="CBD5E0" w:sz="8"/>
              <w:left w:val="single" w:color="CBD5E0" w:sz="8"/>
              <w:bottom w:val="single" w:color="CBD5E0" w:sz="8"/>
              <w:right w:val="single" w:color="CBD5E0" w:sz="8"/>
            </w:tcBorders>
          </w:tcPr>
          <w:p>
            <w:pPr>
              <w:pStyle w:val="TableCellText"/>
            </w:pPr>
            <w:r>
              <w:t xml:space="preserve">100 - 300 users
(Constrained by sequential SQLite operations and API rate limits)</w:t>
            </w:r>
          </w:p>
        </w:tc>
        <w:tc>
          <w:tcPr>
            <w:tcW w:type="dxa" w:w="3430"/>
            <w:tcBorders>
              <w:top w:val="single" w:color="CBD5E0" w:sz="8"/>
              <w:left w:val="single" w:color="CBD5E0" w:sz="8"/>
              <w:bottom w:val="single" w:color="CBD5E0" w:sz="8"/>
              <w:right w:val="single" w:color="CBD5E0" w:sz="8"/>
            </w:tcBorders>
          </w:tcPr>
          <w:p>
            <w:pPr>
              <w:pStyle w:val="TableCellText"/>
            </w:pPr>
            <w:r>
              <w:t xml:space="preserve">25,000 - 100,000+ users
(Scales horizontally with container instances and auto-scaling)</w:t>
            </w:r>
          </w:p>
        </w:tc>
      </w:tr>
      <w:tr>
        <w:tc>
          <w:tcPr>
            <w:tcW w:type="dxa" w:w="2500"/>
            <w:tcBorders>
              <w:top w:val="single" w:color="CBD5E0" w:sz="8"/>
              <w:left w:val="single" w:color="CBD5E0" w:sz="8"/>
              <w:bottom w:val="single" w:color="CBD5E0" w:sz="8"/>
              <w:right w:val="single" w:color="CBD5E0" w:sz="8"/>
            </w:tcBorders>
          </w:tcPr>
          <w:p>
            <w:pPr>
              <w:pStyle w:val="TableCellTextBold"/>
            </w:pPr>
            <w:r>
              <w:t xml:space="preserve">Average API Latency</w:t>
            </w:r>
          </w:p>
        </w:tc>
        <w:tc>
          <w:tcPr>
            <w:tcW w:type="dxa" w:w="3430"/>
            <w:tcBorders>
              <w:top w:val="single" w:color="CBD5E0" w:sz="8"/>
              <w:left w:val="single" w:color="CBD5E0" w:sz="8"/>
              <w:bottom w:val="single" w:color="CBD5E0" w:sz="8"/>
              <w:right w:val="single" w:color="CBD5E0" w:sz="8"/>
            </w:tcBorders>
          </w:tcPr>
          <w:p>
            <w:pPr>
              <w:pStyle w:val="TableCellText"/>
            </w:pPr>
            <w:r>
              <w:t xml:space="preserve">2.5s - 5.0s
(Slower due to CPU RAG search and sequential processing)</w:t>
            </w:r>
          </w:p>
        </w:tc>
        <w:tc>
          <w:tcPr>
            <w:tcW w:type="dxa" w:w="3430"/>
            <w:tcBorders>
              <w:top w:val="single" w:color="CBD5E0" w:sz="8"/>
              <w:left w:val="single" w:color="CBD5E0" w:sz="8"/>
              <w:bottom w:val="single" w:color="CBD5E0" w:sz="8"/>
              <w:right w:val="single" w:color="CBD5E0" w:sz="8"/>
            </w:tcBorders>
          </w:tcPr>
          <w:p>
            <w:pPr>
              <w:pStyle w:val="TableCellText"/>
            </w:pPr>
            <w:r>
              <w:t xml:space="preserve">0.8s - 1.5s
(Fast response times due to offloaded task queue and remote Vector DB)</w:t>
            </w:r>
          </w:p>
        </w:tc>
      </w:tr>
    </w:tbl>
    <w:p>
      <w:r>
        <w:br w:type="page"/>
      </w:r>
    </w:p>
    <w:p>
      <w:pPr>
        <w:pStyle w:val="Heading1"/>
      </w:pPr>
      <w:r>
        <w:t xml:space="preserve">4. Recommended Production Deployment Strategy</w:t>
      </w:r>
    </w:p>
    <w:p>
      <w:pPr>
        <w:pStyle w:val="BodyText"/>
      </w:pPr>
      <w:r>
        <w:t xml:space="preserve">To deploy CareMinds AI at scale with minimal operational overhead, high security, and high availability, we recommend the following hosting options:</w:t>
      </w:r>
    </w:p>
    <w:p>
      <w:pPr>
        <w:pStyle w:val="Heading2"/>
      </w:pPr>
      <w:r>
        <w:t xml:space="preserve">Option A: Cloud-Native Serverless (Recommended for Scalability &amp; Security)</w:t>
      </w:r>
    </w:p>
    <w:p>
      <w:pPr>
        <w:pStyle w:val="BodyText"/>
      </w:pPr>
      <w:r>
        <w:t xml:space="preserve">A serverless, managed deployment architecture on Google Cloud Platform (GCP) or Amazon Web Services (AWS) provides maximum auto-scaling and minimizes maintenance. We recommend configuring the stack as follows:</w:t>
      </w:r>
    </w:p>
    <w:p>
      <w:pPr>
        <w:pStyle w:val="ListParagraph"/>
        <w:numPr>
          <w:ilvl w:val="0"/>
          <w:numId w:val="2"/>
        </w:numPr>
      </w:pPr>
      <w:r>
        <w:rPr>
          <w:b/>
          <w:bCs/>
        </w:rPr>
        <w:t xml:space="preserve">Web &amp; API Hosting: </w:t>
      </w:r>
      <w:r>
        <w:t xml:space="preserve">FastAPI should be containerized using Docker and deployed on </w:t>
      </w:r>
      <w:r>
        <w:rPr>
          <w:b/>
          <w:bCs/>
        </w:rPr>
        <w:t xml:space="preserve">Google Cloud Run</w:t>
      </w:r>
      <w:r>
        <w:t xml:space="preserve"> or </w:t>
      </w:r>
      <w:r>
        <w:rPr>
          <w:b/>
          <w:bCs/>
        </w:rPr>
        <w:t xml:space="preserve">AWS ECS Fargate</w:t>
      </w:r>
      <w:r>
        <w:t xml:space="preserve">. Cloud Run handles automatic horizontal scaling, scaling down to zero when idle to minimize costs, and handles load balancing out of the box.</w:t>
      </w:r>
    </w:p>
    <w:p>
      <w:pPr>
        <w:pStyle w:val="ListParagraph"/>
        <w:numPr>
          <w:ilvl w:val="0"/>
          <w:numId w:val="2"/>
        </w:numPr>
      </w:pPr>
      <w:r>
        <w:rPr>
          <w:b/>
          <w:bCs/>
        </w:rPr>
        <w:t xml:space="preserve">Relational Database: </w:t>
      </w:r>
      <w:r>
        <w:t xml:space="preserve">Deploy on </w:t>
      </w:r>
      <w:r>
        <w:rPr>
          <w:b/>
          <w:bCs/>
        </w:rPr>
        <w:t xml:space="preserve">Supabase PostgreSQL</w:t>
      </w:r>
      <w:r>
        <w:t xml:space="preserve"> or </w:t>
      </w:r>
      <w:r>
        <w:rPr>
          <w:b/>
          <w:bCs/>
        </w:rPr>
        <w:t xml:space="preserve">AWS RDS PostgreSQL</w:t>
      </w:r>
      <w:r>
        <w:t xml:space="preserve"> (db.t4g.medium instance, 2 vCPUs, 4GB RAM) with connection pooling. This easily handles high volumes of clinical session registrations and chat histories.</w:t>
      </w:r>
    </w:p>
    <w:p>
      <w:pPr>
        <w:pStyle w:val="ListParagraph"/>
        <w:numPr>
          <w:ilvl w:val="0"/>
          <w:numId w:val="2"/>
        </w:numPr>
      </w:pPr>
      <w:r>
        <w:rPr>
          <w:b/>
          <w:bCs/>
        </w:rPr>
        <w:t xml:space="preserve">Vector Database (RAG): </w:t>
      </w:r>
      <w:r>
        <w:t xml:space="preserve">Activate pgvector on Supabase or provision a managed vector index on </w:t>
      </w:r>
      <w:r>
        <w:rPr>
          <w:b/>
          <w:bCs/>
        </w:rPr>
        <w:t xml:space="preserve">Pinecone</w:t>
      </w:r>
      <w:r>
        <w:t xml:space="preserve"> or </w:t>
      </w:r>
      <w:r>
        <w:rPr>
          <w:b/>
          <w:bCs/>
        </w:rPr>
        <w:t xml:space="preserve">Qdrant Cloud</w:t>
      </w:r>
      <w:r>
        <w:t xml:space="preserve">. This offloads the embedding search from Python's memory, ensuring low latency lookup.</w:t>
      </w:r>
    </w:p>
    <w:p>
      <w:pPr>
        <w:pStyle w:val="ListParagraph"/>
        <w:numPr>
          <w:ilvl w:val="0"/>
          <w:numId w:val="2"/>
        </w:numPr>
      </w:pPr>
      <w:r>
        <w:rPr>
          <w:b/>
          <w:bCs/>
        </w:rPr>
        <w:t xml:space="preserve">Background Task Queue: </w:t>
      </w:r>
      <w:r>
        <w:t xml:space="preserve">Use </w:t>
      </w:r>
      <w:r>
        <w:rPr>
          <w:b/>
          <w:bCs/>
        </w:rPr>
        <w:t xml:space="preserve">Redis Cloud</w:t>
      </w:r>
      <w:r>
        <w:t xml:space="preserve"> or </w:t>
      </w:r>
      <w:r>
        <w:rPr>
          <w:b/>
          <w:bCs/>
        </w:rPr>
        <w:t xml:space="preserve">AWS ElastiCache</w:t>
      </w:r>
      <w:r>
        <w:t xml:space="preserve"> paired with Celery. This allows the backend to return immediate 'success' updates to the user while long-running jobs (like DIRA analysis and ReportLab PDF compilation) process asynchronously in the background.</w:t>
      </w:r>
    </w:p>
    <w:p>
      <w:pPr>
        <w:pStyle w:val="ListParagraph"/>
        <w:numPr>
          <w:ilvl w:val="0"/>
          <w:numId w:val="2"/>
        </w:numPr>
      </w:pPr>
      <w:r>
        <w:rPr>
          <w:b/>
          <w:bCs/>
        </w:rPr>
        <w:t xml:space="preserve">Static Assets CDN: </w:t>
      </w:r>
      <w:r>
        <w:t xml:space="preserve">Host static HTML/CSS/JS frontend pages on </w:t>
      </w:r>
      <w:r>
        <w:rPr>
          <w:b/>
          <w:bCs/>
        </w:rPr>
        <w:t xml:space="preserve">Cloudflare Pages</w:t>
      </w:r>
      <w:r>
        <w:t xml:space="preserve">, </w:t>
      </w:r>
      <w:r>
        <w:rPr>
          <w:b/>
          <w:bCs/>
        </w:rPr>
        <w:t xml:space="preserve">Vercel</w:t>
      </w:r>
      <w:r>
        <w:t xml:space="preserve">, or </w:t>
      </w:r>
      <w:r>
        <w:rPr>
          <w:b/>
          <w:bCs/>
        </w:rPr>
        <w:t xml:space="preserve">AWS S3 + CloudFront</w:t>
      </w:r>
      <w:r>
        <w:t xml:space="preserve"> to deliver localized, high-speed UI pages globally.</w:t>
      </w:r>
    </w:p>
    <w:p>
      <w:pPr>
        <w:pStyle w:val="Heading2"/>
      </w:pPr>
      <w:r>
        <w:t xml:space="preserve">Option B: Containerized VPS (Recommended for cost-effective early stage launch)</w:t>
      </w:r>
    </w:p>
    <w:p>
      <w:pPr>
        <w:pStyle w:val="BodyText"/>
      </w:pPr>
      <w:r>
        <w:t xml:space="preserve">For early-stage client validation, a Virtual Private Server (VPS) configuration on DigitalOcean, Hetzner, or AWS EC2 offers a simple, cost-effective setup:</w:t>
      </w:r>
    </w:p>
    <w:p>
      <w:pPr>
        <w:pStyle w:val="ListParagraph"/>
        <w:numPr>
          <w:ilvl w:val="0"/>
          <w:numId w:val="2"/>
        </w:numPr>
      </w:pPr>
      <w:r>
        <w:rPr>
          <w:b/>
          <w:bCs/>
        </w:rPr>
        <w:t xml:space="preserve">Server Hardware: </w:t>
      </w:r>
      <w:r>
        <w:t xml:space="preserve">Provision a virtual machine with a minimum of 4 vCPUs and 8GB RAM.</w:t>
      </w:r>
    </w:p>
    <w:p>
      <w:pPr>
        <w:pStyle w:val="ListParagraph"/>
        <w:numPr>
          <w:ilvl w:val="0"/>
          <w:numId w:val="2"/>
        </w:numPr>
      </w:pPr>
      <w:r>
        <w:rPr>
          <w:b/>
          <w:bCs/>
        </w:rPr>
        <w:t xml:space="preserve">Docker Compose: </w:t>
      </w:r>
      <w:r>
        <w:t xml:space="preserve">Deploy the FastAPI server, PostgreSQL database, Redis, and a Celery background worker container on the same VM using Docker Compose.</w:t>
      </w:r>
    </w:p>
    <w:p>
      <w:pPr>
        <w:pStyle w:val="ListParagraph"/>
        <w:numPr>
          <w:ilvl w:val="0"/>
          <w:numId w:val="2"/>
        </w:numPr>
      </w:pPr>
      <w:r>
        <w:rPr>
          <w:b/>
          <w:bCs/>
        </w:rPr>
        <w:t xml:space="preserve">Reverse Proxy: </w:t>
      </w:r>
      <w:r>
        <w:t xml:space="preserve">Configure Nginx to proxy API traffic to FastAPI, handle static asset routing, and termination of Let's Encrypt SSL/TLS certificates.</w:t>
      </w:r>
    </w:p>
    <w:p>
      <w:r>
        <w:br w:type="page"/>
      </w:r>
    </w:p>
    <w:p>
      <w:pPr>
        <w:pStyle w:val="Heading1"/>
      </w:pPr>
      <w:r>
        <w:t xml:space="preserve">5. Security, Privacy &amp; Compliance</w:t>
      </w:r>
    </w:p>
    <w:p>
      <w:pPr>
        <w:pStyle w:val="BodyText"/>
      </w:pPr>
      <w:r>
        <w:t xml:space="preserve">Because CareMinds AI processes clinical assessment results and personal details, the architecture must implement healthcare privacy controls. We recommend these design guidelines:</w:t>
      </w:r>
    </w:p>
    <w:p>
      <w:pPr>
        <w:pStyle w:val="ListParagraph"/>
        <w:numPr>
          <w:ilvl w:val="0"/>
          <w:numId w:val="2"/>
        </w:numPr>
      </w:pPr>
      <w:r>
        <w:rPr>
          <w:b/>
          <w:bCs/>
        </w:rPr>
        <w:t xml:space="preserve">HIPAA Compliance: </w:t>
      </w:r>
      <w:r>
        <w:t xml:space="preserve">Host the database and servers on HIPAA-compliant cloud infrastructure (using AWS Business Associate Agreements or Google Cloud BAA).</w:t>
      </w:r>
    </w:p>
    <w:p>
      <w:pPr>
        <w:pStyle w:val="ListParagraph"/>
        <w:numPr>
          <w:ilvl w:val="0"/>
          <w:numId w:val="2"/>
        </w:numPr>
      </w:pPr>
      <w:r>
        <w:rPr>
          <w:b/>
          <w:bCs/>
        </w:rPr>
        <w:t xml:space="preserve">Data Encryption: </w:t>
      </w:r>
      <w:r>
        <w:t xml:space="preserve">Enforce TLS 1.3 encryption for data in transit and AES-256 encryption at rest for the PostgreSQL databases, FAISS tables, and compiled PDF reports.</w:t>
      </w:r>
    </w:p>
    <w:p>
      <w:pPr>
        <w:pStyle w:val="ListParagraph"/>
        <w:numPr>
          <w:ilvl w:val="0"/>
          <w:numId w:val="2"/>
        </w:numPr>
      </w:pPr>
      <w:r>
        <w:rPr>
          <w:b/>
          <w:bCs/>
        </w:rPr>
        <w:t xml:space="preserve">Stateless Token Authentication: </w:t>
      </w:r>
      <w:r>
        <w:t xml:space="preserve">Migrate from temporary in-memory session tokens to signed, secure, HTTP-only JWT cookies or encrypted headers, utilizing secure bcrypt hashing for credentials.</w:t>
      </w:r>
    </w:p>
    <w:p>
      <w:pPr>
        <w:pStyle w:val="ListParagraph"/>
        <w:numPr>
          <w:ilvl w:val="0"/>
          <w:numId w:val="2"/>
        </w:numPr>
      </w:pPr>
      <w:r>
        <w:rPr>
          <w:b/>
          <w:bCs/>
        </w:rPr>
        <w:t xml:space="preserve">PHI Masking &amp; LLM Safety: </w:t>
      </w:r>
      <w:r>
        <w:t xml:space="preserve">Prior to dispatching prompts to Groq (Llama-3.3-70b-versatile), execute a local sanitization pass to strip Personally Identifiable Information (PII) like full names, phone numbers, and addresses. Keep the database keys isolated from cloud AI inputs.</w:t>
      </w:r>
    </w:p>
    <w:p>
      <w:pPr>
        <w:pStyle w:val="Heading1"/>
      </w:pPr>
      <w:r>
        <w:t xml:space="preserve">6. Phase-Gated Implementation Roadmap</w:t>
      </w:r>
    </w:p>
    <w:p>
      <w:pPr>
        <w:pStyle w:val="BodyText"/>
      </w:pPr>
      <w:r>
        <w:t xml:space="preserve">To successfully execute the transition to a production-grade infrastructure, we recommend a phased approach:</w:t>
      </w:r>
    </w:p>
    <w:p>
      <w:pPr>
        <w:pStyle w:val="ListParagraph"/>
        <w:numPr>
          <w:ilvl w:val="0"/>
          <w:numId w:val="3"/>
        </w:numPr>
      </w:pPr>
      <w:r>
        <w:rPr>
          <w:b/>
          <w:bCs/>
        </w:rPr>
        <w:t xml:space="preserve">Phase 1: Database &amp; Credentials (Week 1): </w:t>
      </w:r>
      <w:r>
        <w:t xml:space="preserve">Migrate from SQLite to PostgreSQL. Update 'database.py' schemas and implement connection pooling. Replace simple in-memory session maps with JWT token authentication.</w:t>
      </w:r>
    </w:p>
    <w:p>
      <w:pPr>
        <w:pStyle w:val="ListParagraph"/>
        <w:numPr>
          <w:ilvl w:val="0"/>
          <w:numId w:val="3"/>
        </w:numPr>
      </w:pPr>
      <w:r>
        <w:rPr>
          <w:b/>
          <w:bCs/>
        </w:rPr>
        <w:t xml:space="preserve">Phase 2: RAG Vector Store &amp; Embeddings (Week 2): </w:t>
      </w:r>
      <w:r>
        <w:t xml:space="preserve">Extract the FAISS local file compilation and migrate it to Supabase pgvector or a managed Pinecone instance. Transition the embedding model 'all-MiniLM-L6-v2' to run on an external embedding service or a dedicated background container to free server CPU.</w:t>
      </w:r>
    </w:p>
    <w:p>
      <w:pPr>
        <w:pStyle w:val="ListParagraph"/>
        <w:numPr>
          <w:ilvl w:val="0"/>
          <w:numId w:val="3"/>
        </w:numPr>
      </w:pPr>
      <w:r>
        <w:rPr>
          <w:b/>
          <w:bCs/>
        </w:rPr>
        <w:t xml:space="preserve">Phase 3: Dockerization &amp; Async Queues (Week 3): </w:t>
      </w:r>
      <w:r>
        <w:t xml:space="preserve">Create Docker files for FastAPI backend. Implement Redis and Celery worker. Offload DIRA report analysis, SOAP clinical notes, and ReportLab PDF compiler to the background queue.</w:t>
      </w:r>
    </w:p>
    <w:p>
      <w:pPr>
        <w:pStyle w:val="ListParagraph"/>
        <w:numPr>
          <w:ilvl w:val="0"/>
          <w:numId w:val="3"/>
        </w:numPr>
      </w:pPr>
      <w:r>
        <w:rPr>
          <w:b/>
          <w:bCs/>
        </w:rPr>
        <w:t xml:space="preserve">Phase 4: Cloud Deploy &amp; HIPAA Audits (Week 4): </w:t>
      </w:r>
      <w:r>
        <w:t xml:space="preserve">Deploy backend Docker images on Google Cloud Run or AWS ECS. Setup cloud firewall rules, SSL certificate mapping, database backup schedules, and logging audits for compliance certification.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Page </w:t>
    </w:r>
    <w:r>
      <w:rPr>
        <w:color w:val="718096"/>
        <w:sz w:val="18"/>
        <w:szCs w:val="18"/>
      </w:rPr>
      <w:fldChar w:fldCharType="begin"/>
      <w:instrText xml:space="preserve">PAGE</w:instrText>
      <w:fldChar w:fldCharType="separate"/>
      <w:fldChar w:fldCharType="end"/>
    </w:r>
    <w:r>
      <w:rPr>
        <w:color w:val="718096"/>
        <w:sz w:val="18"/>
        <w:szCs w:val="18"/>
      </w:rPr>
      <w:t xml:space="preserve"> of </w:t>
    </w:r>
    <w:r>
      <w:rPr>
        <w:color w:val="71809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18096"/>
        <w:sz w:val="16"/>
        <w:szCs w:val="16"/>
      </w:rPr>
      <w:t xml:space="preserve">CareMinds AI — Technology Stack &amp; Capacity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1A365D"/>
      <w:sz w:val="52"/>
      <w:szCs w:val="52"/>
    </w:rPr>
  </w:style>
  <w:style w:type="paragraph" w:styleId="Subtitle">
    <w:name w:val="Subtitle"/>
    <w:basedOn w:val="Normal"/>
    <w:pPr>
      <w:spacing w:after="360" w:before="120"/>
      <w:jc w:val="center"/>
    </w:pPr>
    <w:rPr>
      <w:rFonts w:ascii="Arial" w:cs="Arial" w:eastAsia="Arial" w:hAnsi="Arial"/>
      <w:i/>
      <w:iCs/>
      <w:color w:val="4A5568"/>
      <w:sz w:val="28"/>
      <w:szCs w:val="28"/>
    </w:rPr>
  </w:style>
  <w:style w:type="paragraph" w:styleId="Heading1">
    <w:name w:val="Heading 1"/>
    <w:basedOn w:val="Normal"/>
    <w:next w:val="Normal"/>
    <w:qFormat/>
    <w:pPr>
      <w:spacing w:after="180" w:before="360"/>
      <w:outlineLvl w:val="0"/>
    </w:pPr>
    <w:rPr>
      <w:rFonts w:ascii="Arial" w:cs="Arial" w:eastAsia="Arial" w:hAnsi="Arial"/>
      <w:b/>
      <w:bCs/>
      <w:color w:val="1A365D"/>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B6CB0"/>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2D3748"/>
      <w:sz w:val="24"/>
      <w:szCs w:val="24"/>
    </w:rPr>
  </w:style>
  <w:style w:type="paragraph" w:styleId="BodyText">
    <w:name w:val="Body Text"/>
    <w:basedOn w:val="Normal"/>
    <w:pPr>
      <w:spacing w:after="120" w:before="0"/>
    </w:pPr>
    <w:rPr>
      <w:rFonts w:ascii="Arial" w:cs="Arial" w:eastAsia="Arial" w:hAnsi="Arial"/>
      <w:color w:val="2D3748"/>
      <w:sz w:val="22"/>
      <w:szCs w:val="22"/>
    </w:rPr>
  </w:style>
  <w:style w:type="paragraph" w:styleId="TableHeaderText">
    <w:name w:val="Table Header Text"/>
    <w:basedOn w:val="Normal"/>
    <w:pPr>
      <w:spacing w:after="100" w:before="100"/>
      <w:jc w:val="left"/>
    </w:pPr>
    <w:rPr>
      <w:rFonts w:ascii="Arial" w:cs="Arial" w:eastAsia="Arial" w:hAnsi="Arial"/>
      <w:b/>
      <w:bCs/>
      <w:color w:val="FFFFFF"/>
      <w:sz w:val="22"/>
      <w:szCs w:val="22"/>
    </w:rPr>
  </w:style>
  <w:style w:type="paragraph" w:styleId="TableCellText">
    <w:name w:val="Table Cell Text"/>
    <w:basedOn w:val="Normal"/>
    <w:pPr>
      <w:spacing w:after="100" w:before="100"/>
      <w:jc w:val="left"/>
    </w:pPr>
    <w:rPr>
      <w:rFonts w:ascii="Arial" w:cs="Arial" w:eastAsia="Arial" w:hAnsi="Arial"/>
      <w:color w:val="2D3748"/>
      <w:sz w:val="20"/>
      <w:szCs w:val="20"/>
    </w:rPr>
  </w:style>
  <w:style w:type="paragraph" w:styleId="TableCellTextBold">
    <w:name w:val="Table Cell Text Bold"/>
    <w:basedOn w:val="Normal"/>
    <w:pPr>
      <w:spacing w:after="100" w:before="100"/>
      <w:jc w:val="left"/>
    </w:pPr>
    <w:rPr>
      <w:rFonts w:ascii="Arial" w:cs="Arial" w:eastAsia="Arial" w:hAnsi="Arial"/>
      <w:b/>
      <w:bCs/>
      <w:color w:val="2D374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2026-06-24T08:27:45.457Z</dcterms:created>
  <dcterms:modified xsi:type="dcterms:W3CDTF">2026-06-24T08:27:45.458Z</dcterms:modified>
</cp:coreProperties>
</file>

<file path=docProps/custom.xml><?xml version="1.0" encoding="utf-8"?>
<Properties xmlns="http://schemas.openxmlformats.org/officeDocument/2006/custom-properties" xmlns:vt="http://schemas.openxmlformats.org/officeDocument/2006/docPropsVTypes"/>
</file>