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5F"/>
          <w:sz w:val="40"/>
        </w:rPr>
        <w:t>KKmart Malaysia: Whitespace &amp; Market Saturation Analysis</w:t>
      </w:r>
    </w:p>
    <w:p>
      <w:pPr>
        <w:jc w:val="center"/>
      </w:pPr>
      <w:r>
        <w:rPr>
          <w:i/>
          <w:sz w:val="22"/>
        </w:rPr>
        <w:t>District-level expansion opportunity assessment  |  04 July 2026</w:t>
      </w:r>
    </w:p>
    <w:p>
      <w:pPr>
        <w:pStyle w:val="Heading1"/>
      </w:pPr>
      <w:r>
        <w:rPr>
          <w:color w:val="1F3A5F"/>
        </w:rPr>
        <w:t>1. Executive Summary</w:t>
      </w:r>
    </w:p>
    <w:p>
      <w:r>
        <w:t>This analysis maps all 1,054 KKmart stores against 6,613 competitor outlets (7-Eleven, 99 Speedmart, FamilyMart, myNEWS) and official demographic data from the Department of Statistics Malaysia (DOSM) across all 160 administrative districts. KKmart holds a 14% share of the combined convenience-store network and is present in only 51 of 160 districts, covering 65% of the national population. The national benchmark is 22.5 convenience stores per 100,000 people. Twenty districts are saturated (&gt;1.2x the national rate) — including KKmart's core markets of Kuala Lumpur, Petaling and Johor Bahru — while 76 districts remain structurally underserved (&lt;0.5x). The clearest expansion opportunities fall into two groups: open whitespace in East Malaysia (Tawau, Semporna, Lahad Datu) and competitor-validated markets where KKmart is absent (Kota Kinabalu, Alor Setar, Kuala Terengganu).</w:t>
      </w:r>
    </w:p>
    <w:p>
      <w:pPr>
        <w:pStyle w:val="Heading1"/>
      </w:pPr>
      <w:r>
        <w:rPr>
          <w:color w:val="1F3A5F"/>
        </w:rPr>
        <w:t>2. Methodology</w:t>
      </w:r>
    </w:p>
    <w:p>
      <w:pPr>
        <w:pStyle w:val="Heading2"/>
      </w:pPr>
      <w:r>
        <w:rPr>
          <w:color w:val="1F3A5F"/>
        </w:rPr>
        <w:t>2.1 Data sources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Dataset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Source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KKmart store list (1,054 stores)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Company data (July)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Competitor stores (6,613 outlets)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Compiled lists: 7-Eleven (2,600), 99 Speedmart (3,014), FamilyMart (479), myNEWS (520)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Population by district, 2024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DOSM OpenDOSM: population_district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Households, Census 2020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DOSM data-open GitHub: census_district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Income, expenditure, poverty, Gini (HIES 2022)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DOSM OpenDOSM: hies_district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District boundaries (GeoJSON, 160 districts)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DOSM data-open GitHub: administrative_2_district</w:t>
            </w:r>
          </w:p>
        </w:tc>
      </w:tr>
    </w:tbl>
    <w:p/>
    <w:p>
      <w:pPr>
        <w:pStyle w:val="Heading2"/>
      </w:pPr>
      <w:r>
        <w:rPr>
          <w:color w:val="1F3A5F"/>
        </w:rPr>
        <w:t>2.2 Approach</w:t>
      </w:r>
    </w:p>
    <w:p>
      <w:pPr>
        <w:pStyle w:val="ListNumber"/>
      </w:pPr>
      <w:r>
        <w:t>Data cleaning: coordinates validated against Malaysia's bounding box (2 competitor records with invalid coordinates removed), duplicates flagged, all 7,667 stores geocoded.</w:t>
      </w:r>
    </w:p>
    <w:p>
      <w:pPr>
        <w:pStyle w:val="ListNumber"/>
      </w:pPr>
      <w:r>
        <w:t>Spatial join: every store assigned to its administrative district by point-in-polygon matching against official DOSM boundaries (coastal stores snapped to nearest district).</w:t>
      </w:r>
    </w:p>
    <w:p>
      <w:pPr>
        <w:pStyle w:val="ListNumber"/>
      </w:pPr>
      <w:r>
        <w:t>Demand index per district: weighted blend of normalized indicators — population 2024 (30%), households (20%), population density (20%), mean household expenditure (15%), share of population aged 15-39 (10%), and population growth 2020-2024 (5%).</w:t>
      </w:r>
    </w:p>
    <w:p>
      <w:pPr>
        <w:pStyle w:val="ListNumber"/>
      </w:pPr>
      <w:r>
        <w:t>Saturation ratio: district convenience stores per 100k population divided by the national rate (22.5/100k). Above 1.2x = saturated; below 0.5x = underserved.</w:t>
      </w:r>
    </w:p>
    <w:p>
      <w:pPr>
        <w:pStyle w:val="ListNumber"/>
      </w:pPr>
      <w:r>
        <w:t>Whitespace score: demand index minus normalized total market supply (all five brands), so a district only scores highly if demand is strong AND the market is not already crowded.</w:t>
      </w:r>
    </w:p>
    <w:p>
      <w:pPr>
        <w:pStyle w:val="ListNumber"/>
      </w:pPr>
      <w:r>
        <w:t>Classification: each district labelled open_whitespace, room_to_expand, competitor_led, competitive, saturated, or low_demand based on demand, saturation and KKmart presence.</w:t>
      </w:r>
    </w:p>
    <w:p>
      <w:pPr>
        <w:pStyle w:val="Heading1"/>
      </w:pPr>
      <w:r>
        <w:rPr>
          <w:color w:val="1F3A5F"/>
        </w:rPr>
        <w:t>3. Key Findings</w:t>
      </w:r>
    </w:p>
    <w:p>
      <w:pPr>
        <w:pStyle w:val="Heading2"/>
      </w:pPr>
      <w:r>
        <w:rPr>
          <w:color w:val="1F3A5F"/>
        </w:rPr>
        <w:t>3.1 Market structure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Brand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Stores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Network share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99 Speedmart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3,014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39%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7-Eleven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2,600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34%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KKmart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1,054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14%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myNEWS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520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7%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FamilyMart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479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6%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Total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7,667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100%</w:t>
            </w:r>
          </w:p>
        </w:tc>
      </w:tr>
    </w:tbl>
    <w:p/>
    <w:p>
      <w:r>
        <w:t>KKmart's footprint is heavily concentrated: Selangor (466), Kuala Lumpur (245) and Johor (132) account for 80% of all stores. KKmart has zero presence in Sabah, Kelantan, Terengganu, Perlis and Labuan.</w:t>
      </w:r>
    </w:p>
    <w:p>
      <w:pPr>
        <w:pStyle w:val="Heading2"/>
      </w:pPr>
      <w:r>
        <w:rPr>
          <w:color w:val="1F3A5F"/>
        </w:rPr>
        <w:t>3.2 Saturation</w:t>
      </w:r>
    </w:p>
    <w:p>
      <w:r>
        <w:t>Of 160 districts: 20 saturated, 64 balanced, 76 underserved. The most saturated markets are Cameron Highlands (2.7x national rate, tourism-inflated), Sepang (2.2x), Kuala Lumpur (2.0x), Port Dickson (1.8x) and Petaling (1.7x). KKmart's core Klang Valley base is therefore a share-defence market, not a growth market: incremental stores there compete for existing traffic rather than serving unmet demand.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  <w:sz w:val="18"/>
              </w:rPr>
              <w:t>District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Population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KKmart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Competitors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Stores/100k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vs national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Cameron Highlands, Pahang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44k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60.7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2.7x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Sepang, Selangor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347k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137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50.2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2.2x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W.P. Kuala Lumpur, W.P. Kuala Lumpur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2,068k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245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689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45.2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2.0x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Port Dickson, Negeri Sembilan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135k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40.7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1.8x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Petaling, Selangor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2,360k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190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739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39.4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1.7x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Bentong, Pahang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121k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38.8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1.7x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Melaka Tengah, Melaka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630k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28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210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37.8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1.7x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Seremban, Negeri Sembilan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713k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231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37.5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1.7x</w:t>
            </w:r>
          </w:p>
        </w:tc>
      </w:tr>
    </w:tbl>
    <w:p/>
    <w:p>
      <w:pPr>
        <w:pStyle w:val="Heading2"/>
      </w:pPr>
      <w:r>
        <w:rPr>
          <w:color w:val="1F3A5F"/>
        </w:rPr>
        <w:t>3.3 Open whitespace (high demand, few stores from any brand)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8"/>
              </w:rPr>
              <w:t>District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Population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Median income (RM)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Total stores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Stores/100k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Tawau, Sabah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414k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4,783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1.9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Kinabatangan, Sabah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164k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4,162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1.2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Kalabakan, Sabah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59k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3,931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0.0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Kunak, Sabah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80k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4,480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0.0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Semporna, Sabah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199k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4,093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1.0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Lahad Datu, Sabah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254k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4,457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2.0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Bintulu, Sarawak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189k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8,567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3.7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W.P. Labuan, W.P. Labuan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101k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6,904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2.0</w:t>
            </w:r>
          </w:p>
        </w:tc>
      </w:tr>
    </w:tbl>
    <w:p/>
    <w:p>
      <w:r>
        <w:t>East Malaysia dominates: Tawau (414k people, 8 stores in total across all brands), Semporna, Lahad Datu and Kinabatangan in Sabah; Bintulu and Sibu in Sarawak. Bintulu is notable for its high median income (RM 8,567 — above Klang) with no KKmart presence. The main execution risk in this group is East Malaysian logistics and supply-chain cost.</w:t>
      </w:r>
    </w:p>
    <w:p>
      <w:pPr>
        <w:pStyle w:val="Heading2"/>
      </w:pPr>
      <w:r>
        <w:rPr>
          <w:color w:val="1F3A5F"/>
        </w:rPr>
        <w:t>3.4 Competitor-led markets (demand proven, KKmart absent)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8"/>
              </w:rPr>
              <w:t>District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Population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Competitors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Stores/100k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vs national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Kota Kinabalu, Sabah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547k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96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17.6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0.8x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Kota Setar, Kedah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382k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85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22.3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1.0x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Kuala Terengganu, Terengganu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245k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38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15.5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0.7x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Perlis, Perlis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297k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11.5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0.5x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Kulim, Kedah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352k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53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15.0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0.7x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Dungun, Terengganu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168k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11.9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0.5x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Kemaman, Terengganu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232k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29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12.5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0.6x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Miri, Sarawak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256k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32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12.5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0.6x</w:t>
            </w:r>
          </w:p>
        </w:tc>
      </w:tr>
    </w:tbl>
    <w:p/>
    <w:p>
      <w:r>
        <w:t>These are arguably the lowest-risk expansion targets: competitors have already validated consumer demand, yet total density remains below the national rate, and KKmart is the missing brand. Kota Kinabalu stands out — 547k people, 96 competitor outlets, zero KKmart stores.</w:t>
      </w:r>
    </w:p>
    <w:p>
      <w:pPr>
        <w:pStyle w:val="Heading1"/>
      </w:pPr>
      <w:r>
        <w:rPr>
          <w:color w:val="1F3A5F"/>
        </w:rPr>
        <w:t>4. Relevance for Investment Analysis</w:t>
      </w:r>
    </w:p>
    <w:p>
      <w:r>
        <w:rPr>
          <w:b/>
        </w:rPr>
        <w:t xml:space="preserve">Growth runway quantification. </w:t>
      </w:r>
      <w:r>
        <w:t>Store-count growth is the primary earnings driver for convenience retail. This analysis converts a vague 'expansion story' into a measurable pipeline: 19 open-whitespace and 18 competitor-led districts define the addressable runway, while 20 saturated districts cap realistic same-format growth in the core. That supports store-rollout assumptions in a DCF or comparable-company model.</w:t>
      </w:r>
    </w:p>
    <w:p>
      <w:r>
        <w:rPr>
          <w:b/>
        </w:rPr>
        <w:t xml:space="preserve">Unit-economics risk flags. </w:t>
      </w:r>
      <w:r>
        <w:t>New stores in saturated districts (KL, Petaling, JB) face cannibalisation and rent pressure; the same capex deployed in underserved, competitor-validated districts should generate higher incremental revenue per store. Monitoring where a retailer actually opens stores versus this map is a leading indicator of future same-store-sales dilution.</w:t>
      </w:r>
    </w:p>
    <w:p>
      <w:r>
        <w:rPr>
          <w:b/>
        </w:rPr>
        <w:t xml:space="preserve">Competitive positioning. </w:t>
      </w:r>
      <w:r>
        <w:t>KKmart's 14% network share versus 99 Speedmart's 39% and 7-Eleven's 34%, and its absence from five states, quantify both the market-share gap and the differentiation of its footprint. The brand-level district counts allow head-to-head overlap analysis for any pair of chains.</w:t>
      </w:r>
    </w:p>
    <w:p>
      <w:r>
        <w:rPr>
          <w:b/>
        </w:rPr>
        <w:t xml:space="preserve">Scalable, auditable framework. </w:t>
      </w:r>
      <w:r>
        <w:t>All demand inputs are official DOSM open data with published vintages; the pipeline is fully reproducible in Python and re-runs in minutes when new store lists or census updates arrive. The same framework transfers directly to other retail, F&amp;B, pharmacy or bank-branch networks — any business where physical distribution drives revenue.</w:t>
      </w:r>
    </w:p>
    <w:p>
      <w:pPr>
        <w:pStyle w:val="Heading1"/>
      </w:pPr>
      <w:r>
        <w:rPr>
          <w:color w:val="1F3A5F"/>
        </w:rPr>
        <w:t>5. Caveats</w:t>
      </w:r>
    </w:p>
    <w:p>
      <w:pPr>
        <w:pStyle w:val="ListBullet"/>
      </w:pPr>
      <w:r>
        <w:t>Data vintages differ: households are Census 2020, income/expenditure HIES 2022, population 2024. Rankings are robust to this, but absolute per-household figures mix reference years.</w:t>
      </w:r>
    </w:p>
    <w:p>
      <w:pPr>
        <w:pStyle w:val="ListBullet"/>
      </w:pPr>
      <w:r>
        <w:t>Districts are coarse units; a large district can hide urban pockets that are locally saturated. A finer DUN-level or catchment-radius pass is the recommended next step for site selection.</w:t>
      </w:r>
    </w:p>
    <w:p>
      <w:pPr>
        <w:pStyle w:val="ListBullet"/>
      </w:pPr>
      <w:r>
        <w:t>All five brands are weighted equally in the saturation measure, although 99 Speedmart's mini-market format overlaps only partially with convenience-store demand.</w:t>
      </w:r>
    </w:p>
    <w:p>
      <w:pPr>
        <w:pStyle w:val="ListBullet"/>
      </w:pPr>
      <w:r>
        <w:t>Competitor lists are point-in-time snapshots; openings and closures since compilation are not reflected.</w:t>
      </w:r>
    </w:p>
    <w:p/>
    <w:p>
      <w:r>
        <w:rPr>
          <w:i/>
          <w:sz w:val="18"/>
        </w:rPr>
        <w:t>Deliverables: interactive map (docs/index.html, deployable via GitHub Pages), full district ranking (output/whitespace_ranking.csv), reproducible pipeline (python -m src.pipeline).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