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718096"/>
          <w:sz w:val="19"/>
        </w:rPr>
        <w:t>STATEMENT OF WORK</w:t>
      </w:r>
    </w:p>
    <w:p>
      <w:pPr>
        <w:spacing w:before="0" w:after="280"/>
      </w:pPr>
      <w:r>
        <w:rPr>
          <w:rFonts w:ascii="Calibri" w:hAnsi="Calibri"/>
          <w:b/>
          <w:color w:val="1A365D"/>
          <w:sz w:val="44"/>
        </w:rPr>
        <w:t>Backend API Modernization</w:t>
      </w:r>
    </w:p>
    <w:p>
      <w:pPr>
        <w:spacing w:before="0" w:after="360"/>
        <w:pBdr>
          <w:bottom w:val="single" w:sz="12" w:space="1" w:color="2B6CB0"/>
        </w:pBdr>
      </w:pPr>
    </w:p>
    <w:tbl>
      <w:tblPr>
        <w:tblW w:type="auto" w:w="0"/>
        <w:jc w:val="center"/>
        <w:tblLook w:firstColumn="1" w:firstRow="1" w:lastColumn="0" w:lastRow="0" w:noHBand="0" w:noVBand="1" w:val="04A0"/>
        <w:tblBorders>
          <w:top w:val="single" w:sz="6" w:space="0" w:color="CBD5E0"/>
          <w:bottom w:val="single" w:sz="6" w:space="0" w:color="CBD5E0"/>
          <w:left w:val="single" w:sz="6" w:space="0" w:color="CBD5E0"/>
          <w:right w:val="single" w:sz="6" w:space="0" w:color="CBD5E0"/>
          <w:insideH w:val="single" w:sz="4" w:space="0" w:color="E2E8F0"/>
          <w:insideV w:val="none"/>
        </w:tblBorders>
      </w:tblPr>
      <w:tblGrid>
        <w:gridCol w:w="4680"/>
        <w:gridCol w:w="4680"/>
      </w:tblGrid>
      <w:tr>
        <w:tc>
          <w:tcPr>
            <w:tcW w:type="dxa" w:w="4680"/>
            <w:shd w:fill="F7FAFC"/>
            <w:tcMar>
              <w:top w:w="80" w:type="dxa"/>
              <w:bottom w:w="80" w:type="dxa"/>
              <w:left w:w="120" w:type="dxa"/>
              <w:right w:w="120" w:type="dxa"/>
            </w:tcMar>
          </w:tcPr>
          <w:p>
            <w:pPr>
              <w:spacing w:after="0"/>
            </w:pPr>
            <w:r>
              <w:rPr>
                <w:b/>
                <w:color w:val="4A5568"/>
                <w:sz w:val="18"/>
              </w:rPr>
              <w:t xml:space="preserve">Document Type: </w:t>
            </w:r>
            <w:r>
              <w:rPr>
                <w:color w:val="2D3748"/>
                <w:sz w:val="18"/>
              </w:rPr>
              <w:t>Statement of Work (SOW)</w:t>
            </w:r>
          </w:p>
        </w:tc>
        <w:tc>
          <w:tcPr>
            <w:tcW w:type="dxa" w:w="4680"/>
            <w:shd w:fill="F7FAFC"/>
            <w:tcMar>
              <w:top w:w="80" w:type="dxa"/>
              <w:bottom w:w="80" w:type="dxa"/>
              <w:left w:w="120" w:type="dxa"/>
              <w:right w:w="120" w:type="dxa"/>
            </w:tcMar>
          </w:tcPr>
          <w:p>
            <w:pPr>
              <w:spacing w:after="0"/>
            </w:pPr>
            <w:r>
              <w:rPr>
                <w:b/>
                <w:color w:val="4A5568"/>
                <w:sz w:val="18"/>
              </w:rPr>
              <w:t xml:space="preserve">Specification Version: </w:t>
            </w:r>
            <w:r>
              <w:rPr>
                <w:color w:val="2D3748"/>
                <w:sz w:val="18"/>
              </w:rPr>
              <w:t>Specification v2.0</w:t>
            </w:r>
          </w:p>
        </w:tc>
      </w:tr>
      <w:tr>
        <w:tc>
          <w:tcPr>
            <w:tcW w:type="dxa" w:w="4680"/>
            <w:shd w:fill="F7FAFC"/>
            <w:tcMar>
              <w:top w:w="80" w:type="dxa"/>
              <w:bottom w:w="80" w:type="dxa"/>
              <w:left w:w="120" w:type="dxa"/>
              <w:right w:w="120" w:type="dxa"/>
            </w:tcMar>
          </w:tcPr>
          <w:p>
            <w:pPr>
              <w:spacing w:after="0"/>
            </w:pPr>
            <w:r>
              <w:rPr>
                <w:b/>
                <w:color w:val="4A5568"/>
                <w:sz w:val="18"/>
              </w:rPr>
              <w:t xml:space="preserve">Project Name: </w:t>
            </w:r>
            <w:r>
              <w:rPr>
                <w:color w:val="2D3748"/>
                <w:sz w:val="18"/>
              </w:rPr>
              <w:t>Internal Billing API Modernization</w:t>
            </w:r>
          </w:p>
        </w:tc>
        <w:tc>
          <w:tcPr>
            <w:tcW w:type="dxa" w:w="4680"/>
            <w:shd w:fill="F7FAFC"/>
            <w:tcMar>
              <w:top w:w="80" w:type="dxa"/>
              <w:bottom w:w="80" w:type="dxa"/>
              <w:left w:w="120" w:type="dxa"/>
              <w:right w:w="120" w:type="dxa"/>
            </w:tcMar>
          </w:tcPr>
          <w:p>
            <w:pPr>
              <w:spacing w:after="0"/>
            </w:pPr>
            <w:r>
              <w:rPr>
                <w:b/>
                <w:color w:val="4A5568"/>
                <w:sz w:val="18"/>
              </w:rPr>
              <w:t xml:space="preserve">Payment Terms: </w:t>
            </w:r>
            <w:r>
              <w:rPr>
                <w:color w:val="2D3748"/>
                <w:sz w:val="18"/>
              </w:rPr>
              <w:t>Net 30 Days (Monthly Billing)</w:t>
            </w:r>
          </w:p>
        </w:tc>
      </w:tr>
    </w:tbl>
    <w:p>
      <w:pPr>
        <w:spacing w:after="280"/>
      </w:pPr>
    </w:p>
    <w:p>
      <w:pPr>
        <w:keepNext/>
        <w:spacing w:before="320" w:after="120"/>
      </w:pPr>
      <w:r>
        <w:rPr>
          <w:rFonts w:ascii="Calibri" w:hAnsi="Calibri"/>
          <w:b/>
          <w:color w:val="2B6CB0"/>
          <w:sz w:val="26"/>
        </w:rPr>
        <w:t xml:space="preserve">1.  </w:t>
      </w:r>
      <w:r>
        <w:rPr>
          <w:rFonts w:ascii="Calibri" w:hAnsi="Calibri"/>
          <w:b/>
          <w:color w:val="1A365D"/>
          <w:sz w:val="26"/>
        </w:rPr>
        <w:t>Scope of Work</w:t>
      </w:r>
    </w:p>
    <w:p>
      <w:pPr>
        <w:spacing w:before="0" w:after="160" w:line="288" w:lineRule="auto"/>
      </w:pPr>
      <w:r>
        <w:rPr>
          <w:rFonts w:ascii="Calibri" w:hAnsi="Calibri"/>
          <w:color w:val="2D3748"/>
          <w:sz w:val="21"/>
        </w:rPr>
        <w:t>Contractor will refactor the internal billing API according to specification v2.0.</w:t>
      </w:r>
    </w:p>
    <w:p>
      <w:pPr>
        <w:keepNext/>
        <w:spacing w:before="320" w:after="120"/>
      </w:pPr>
      <w:r>
        <w:rPr>
          <w:rFonts w:ascii="Calibri" w:hAnsi="Calibri"/>
          <w:b/>
          <w:color w:val="2B6CB0"/>
          <w:sz w:val="26"/>
        </w:rPr>
        <w:t xml:space="preserve">2.  </w:t>
      </w:r>
      <w:r>
        <w:rPr>
          <w:rFonts w:ascii="Calibri" w:hAnsi="Calibri"/>
          <w:b/>
          <w:color w:val="1A365D"/>
          <w:sz w:val="26"/>
        </w:rPr>
        <w:t>Invoicing and Payment Terms</w:t>
      </w:r>
    </w:p>
    <w:p>
      <w:pPr>
        <w:spacing w:before="0" w:after="160" w:line="288" w:lineRule="auto"/>
      </w:pPr>
      <w:r>
        <w:rPr>
          <w:rFonts w:ascii="Calibri" w:hAnsi="Calibri"/>
          <w:color w:val="2D3748"/>
          <w:sz w:val="21"/>
        </w:rPr>
        <w:t>Contractor will submit monthly invoices. Client will pay undisputed amounts within thirty (30) days of receipt of invoice. Client must raise any good-faith invoice dispute in writing within the thirty-day payment period while remitting all undisputed amounts on schedule. Deliverables are deemed approved if Client does not provide a written rejection specifying material defects within ten (10) business days of delivery.</w:t>
      </w:r>
    </w:p>
    <w:p>
      <w:pPr>
        <w:keepNext/>
        <w:spacing w:before="320" w:after="120"/>
      </w:pPr>
      <w:r>
        <w:rPr>
          <w:rFonts w:ascii="Calibri" w:hAnsi="Calibri"/>
          <w:b/>
          <w:color w:val="2B6CB0"/>
          <w:sz w:val="26"/>
        </w:rPr>
        <w:t xml:space="preserve">3.  </w:t>
      </w:r>
      <w:r>
        <w:rPr>
          <w:rFonts w:ascii="Calibri" w:hAnsi="Calibri"/>
          <w:b/>
          <w:color w:val="1A365D"/>
          <w:sz w:val="26"/>
        </w:rPr>
        <w:t>Intellectual Property Rights</w:t>
      </w:r>
    </w:p>
    <w:p>
      <w:pPr>
        <w:spacing w:before="0" w:after="160" w:line="288" w:lineRule="auto"/>
      </w:pPr>
      <w:r>
        <w:rPr>
          <w:rFonts w:ascii="Calibri" w:hAnsi="Calibri"/>
          <w:color w:val="2D3748"/>
          <w:sz w:val="21"/>
        </w:rPr>
        <w:t>Upon receipt of full payment for the applicable Fees, Contractor assigns to Client all right, title, and interest in the custom Deliverables created specifically for Client under this SOW. Contractor retains all ownership and intellectual property rights in its pre-existing materials, reusable tools, libraries, and generic methodologies, granting Client a non-exclusive, perpetual license to use any such materials solely as embedded in the Deliverables.</w:t>
      </w:r>
    </w:p>
    <w:p>
      <w:pPr>
        <w:keepNext/>
        <w:spacing w:before="320" w:after="120"/>
      </w:pPr>
      <w:r>
        <w:rPr>
          <w:rFonts w:ascii="Calibri" w:hAnsi="Calibri"/>
          <w:b/>
          <w:color w:val="2B6CB0"/>
          <w:sz w:val="26"/>
        </w:rPr>
        <w:t xml:space="preserve">4.  </w:t>
      </w:r>
      <w:r>
        <w:rPr>
          <w:rFonts w:ascii="Calibri" w:hAnsi="Calibri"/>
          <w:b/>
          <w:color w:val="1A365D"/>
          <w:sz w:val="26"/>
        </w:rPr>
        <w:t>Indemnification and Limitation of Liability</w:t>
      </w:r>
    </w:p>
    <w:p>
      <w:pPr>
        <w:spacing w:before="0" w:after="160" w:line="288" w:lineRule="auto"/>
      </w:pPr>
      <w:r>
        <w:rPr>
          <w:rFonts w:ascii="Calibri" w:hAnsi="Calibri"/>
          <w:color w:val="2D3748"/>
          <w:sz w:val="21"/>
        </w:rPr>
        <w:t>Each party shall defend and indemnify the other party against third-party claims arising from infringement of intellectual property rights by materials or deliverables provided by the indemnifying party. Neither party shall be liable for any lost profits, indirect, incidental, or consequential damages. Each party's total cumulative liability under this Agreement shall not exceed the total fees paid or payable by Client to Contractor during the twelve (12) months preceding the claim.</w:t>
      </w:r>
    </w:p>
    <w:p>
      <w:pPr>
        <w:spacing w:before="400"/>
      </w:pPr>
    </w:p>
    <w:p>
      <w:pPr>
        <w:keepNext/>
        <w:spacing w:after="200"/>
      </w:pPr>
      <w:r>
        <w:rPr>
          <w:rFonts w:ascii="Calibri" w:hAnsi="Calibri"/>
          <w:b/>
          <w:color w:val="4A5568"/>
          <w:sz w:val="20"/>
        </w:rPr>
        <w:t>IN WITNESS WHEREOF, the parties hereto have executed this Statement of Work:</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60" w:type="dxa"/>
              <w:right w:w="60" w:type="dxa"/>
            </w:tcMar>
          </w:tcPr>
          <w:p>
            <w:pPr>
              <w:spacing w:after="120"/>
            </w:pPr>
            <w:r>
              <w:rPr>
                <w:rFonts w:ascii="Calibri" w:hAnsi="Calibri"/>
                <w:b/>
                <w:color w:val="2D3748"/>
                <w:sz w:val="19"/>
              </w:rPr>
              <w:t>CLIENT:</w:t>
            </w:r>
          </w:p>
        </w:tc>
        <w:tc>
          <w:tcPr>
            <w:tcW w:type="dxa" w:w="4680"/>
            <w:tcMar>
              <w:top w:w="60" w:type="dxa"/>
              <w:bottom w:w="60" w:type="dxa"/>
              <w:left w:w="60" w:type="dxa"/>
              <w:right w:w="60" w:type="dxa"/>
            </w:tcMar>
          </w:tcPr>
          <w:p>
            <w:pPr>
              <w:spacing w:after="120"/>
            </w:pPr>
            <w:r>
              <w:rPr>
                <w:rFonts w:ascii="Calibri" w:hAnsi="Calibri"/>
                <w:b/>
                <w:color w:val="2D3748"/>
                <w:sz w:val="19"/>
              </w:rPr>
              <w:t>CONTRACTOR:</w:t>
            </w:r>
          </w:p>
        </w:tc>
      </w:tr>
      <w:tr>
        <w:tc>
          <w:tcPr>
            <w:tcW w:type="dxa" w:w="4680"/>
            <w:tcMar>
              <w:top w:w="60" w:type="dxa"/>
              <w:bottom w:w="60" w:type="dxa"/>
              <w:left w:w="60" w:type="dxa"/>
              <w:right w:w="60" w:type="dxa"/>
            </w:tcMar>
          </w:tcPr>
          <w:p>
            <w:pPr>
              <w:spacing w:after="120"/>
            </w:pPr>
            <w:r>
              <w:rPr>
                <w:rFonts w:ascii="Calibri" w:hAnsi="Calibri"/>
                <w:color w:val="2D3748"/>
                <w:sz w:val="19"/>
              </w:rPr>
              <w:t>By: ____________________________________</w:t>
            </w:r>
          </w:p>
        </w:tc>
        <w:tc>
          <w:tcPr>
            <w:tcW w:type="dxa" w:w="4680"/>
            <w:tcMar>
              <w:top w:w="60" w:type="dxa"/>
              <w:bottom w:w="60" w:type="dxa"/>
              <w:left w:w="60" w:type="dxa"/>
              <w:right w:w="60" w:type="dxa"/>
            </w:tcMar>
          </w:tcPr>
          <w:p>
            <w:pPr>
              <w:spacing w:after="120"/>
            </w:pPr>
            <w:r>
              <w:rPr>
                <w:rFonts w:ascii="Calibri" w:hAnsi="Calibri"/>
                <w:color w:val="2D3748"/>
                <w:sz w:val="19"/>
              </w:rPr>
              <w:t>By: ____________________________________</w:t>
            </w:r>
          </w:p>
        </w:tc>
      </w:tr>
      <w:tr>
        <w:tc>
          <w:tcPr>
            <w:tcW w:type="dxa" w:w="4680"/>
            <w:tcMar>
              <w:top w:w="60" w:type="dxa"/>
              <w:bottom w:w="60" w:type="dxa"/>
              <w:left w:w="60" w:type="dxa"/>
              <w:right w:w="60" w:type="dxa"/>
            </w:tcMar>
          </w:tcPr>
          <w:p>
            <w:pPr>
              <w:spacing w:after="120"/>
            </w:pPr>
            <w:r>
              <w:rPr>
                <w:rFonts w:ascii="Calibri" w:hAnsi="Calibri"/>
                <w:color w:val="2D3748"/>
                <w:sz w:val="19"/>
              </w:rPr>
              <w:t>Name: __________________________________</w:t>
            </w:r>
          </w:p>
        </w:tc>
        <w:tc>
          <w:tcPr>
            <w:tcW w:type="dxa" w:w="4680"/>
            <w:tcMar>
              <w:top w:w="60" w:type="dxa"/>
              <w:bottom w:w="60" w:type="dxa"/>
              <w:left w:w="60" w:type="dxa"/>
              <w:right w:w="60" w:type="dxa"/>
            </w:tcMar>
          </w:tcPr>
          <w:p>
            <w:pPr>
              <w:spacing w:after="120"/>
            </w:pPr>
            <w:r>
              <w:rPr>
                <w:rFonts w:ascii="Calibri" w:hAnsi="Calibri"/>
                <w:color w:val="2D3748"/>
                <w:sz w:val="19"/>
              </w:rPr>
              <w:t>Name: __________________________________</w:t>
            </w:r>
          </w:p>
        </w:tc>
      </w:tr>
      <w:tr>
        <w:tc>
          <w:tcPr>
            <w:tcW w:type="dxa" w:w="4680"/>
            <w:tcMar>
              <w:top w:w="60" w:type="dxa"/>
              <w:bottom w:w="60" w:type="dxa"/>
              <w:left w:w="60" w:type="dxa"/>
              <w:right w:w="60" w:type="dxa"/>
            </w:tcMar>
          </w:tcPr>
          <w:p>
            <w:pPr>
              <w:spacing w:after="120"/>
            </w:pPr>
            <w:r>
              <w:rPr>
                <w:rFonts w:ascii="Calibri" w:hAnsi="Calibri"/>
                <w:color w:val="2D3748"/>
                <w:sz w:val="19"/>
              </w:rPr>
              <w:t>Date: __________________________________</w:t>
            </w:r>
          </w:p>
        </w:tc>
        <w:tc>
          <w:tcPr>
            <w:tcW w:type="dxa" w:w="4680"/>
            <w:tcMar>
              <w:top w:w="60" w:type="dxa"/>
              <w:bottom w:w="60" w:type="dxa"/>
              <w:left w:w="60" w:type="dxa"/>
              <w:right w:w="60" w:type="dxa"/>
            </w:tcMar>
          </w:tcPr>
          <w:p>
            <w:pPr>
              <w:spacing w:after="120"/>
            </w:pPr>
            <w:r>
              <w:rPr>
                <w:rFonts w:ascii="Calibri" w:hAnsi="Calibri"/>
                <w:color w:val="2D3748"/>
                <w:sz w:val="19"/>
              </w:rPr>
              <w:t>Date: __________________________________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