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41B30"/>
          <w:sz w:val="44"/>
        </w:rPr>
        <w:t>AgentXAI: An Agent-based Explainable AI System</w:t>
      </w:r>
    </w:p>
    <w:p>
      <w:pPr>
        <w:spacing w:after="40"/>
      </w:pPr>
      <w:r>
        <w:rPr>
          <w:rFonts w:ascii="Calibri" w:hAnsi="Calibri"/>
          <w:i/>
          <w:color w:val="6B778C"/>
          <w:sz w:val="22"/>
        </w:rPr>
        <w:t>Technical Report  ·  May 2026  ·  v2-local-working branch</w:t>
      </w:r>
    </w:p>
    <w:p>
      <w:pPr>
        <w:spacing w:after="40"/>
      </w:pPr>
      <w:r>
        <w:rPr>
          <w:rFonts w:ascii="Calibri" w:hAnsi="Calibri"/>
          <w:color w:val="6B778C"/>
          <w:sz w:val="20"/>
        </w:rPr>
        <w:t>Speaker 1 — Lead Researcher  ·  Speaker 2 — Systems Engineer  ·  Speaker 3 — Evaluation Lead</w:t>
      </w:r>
    </w:p>
    <w:p>
      <w:pPr>
        <w:spacing w:after="280"/>
      </w:pPr>
      <w:r>
        <w:rPr>
          <w:rFonts w:ascii="Calibri" w:hAnsi="Calibri"/>
          <w:color w:val="6B778C"/>
          <w:sz w:val="20"/>
        </w:rPr>
        <w:t xml:space="preserve">Repository: </w:t>
      </w:r>
      <w:r>
        <w:rPr>
          <w:rFonts w:ascii="Calibri" w:hAnsi="Calibri"/>
          <w:color w:val="0E7490"/>
          <w:sz w:val="20"/>
        </w:rPr>
        <w:t>https://github.com/harjeetschahal/AgentXAI</w:t>
      </w:r>
    </w:p>
    <w:p>
      <w:pPr>
        <w:spacing w:before="80" w:after="80"/>
      </w:pPr>
      <w:r>
        <w:rPr>
          <w:rFonts w:ascii="Calibri" w:hAnsi="Calibri"/>
          <w:b/>
          <w:color w:val="141B30"/>
          <w:sz w:val="26"/>
        </w:rPr>
        <w:t>Abstract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Modern AI systems are agentic: they plan, retrieve, call tools, message each other, and reason across multiple steps. Classical explainable-AI techniques (SHAP, LIME, Grad-CAM) explain a single model making a single prediction and cannot answer the question that matters for an agentic system: which agent caused this answer, and why. AgentXAI is a runtime explainability layer that captures every agent action through seven orthogonal pillars and a composite responsibility scorer that fuses six observable signals to attribute the final answer to specific agents. We instantiate it on a five-agent pipeline (Planner, Retrieval, Reasoning, Explanation, Output) and evaluate on the MedQA-US benchmark of USMLE-style clinical questions. On a 100-record evaluation the pipeline reaches 74% task accuracy — up 26 points from a prior 48% baseline — while the responsibility scorer attains 93.0% sufficiency and 0.71 ± 0.53 stability ρ. Necessity drops to 19.0%, which we interpret as a regime change: at higher accuracy no single agent is critical because the team has multiple paths to the same answer. We document the remaining failure modes (Synthesizer dominance, residual overconfidence) and outline a seven-phase improvement plan.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1.  Project Overview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AgentXAI investigates whether a multi-agent system can produce answers that are simultaneously ACCURATE and FAITHFULLY SELF-EXPLAINING. Our hypothesis is that decomposing reasoning across specialised agents — and giving the explainability machinery first-class status alongside them — yields a system where every claim in the explanation is grounded in events that actually occurred during inference.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answer this question by building a five-agent system, instrumenting every action with typed trace events, and measuring explanation quality with a counterfactual engine that perturbs individual elements of the trace and re-runs the affected suffix.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Contributions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 five-agent architecture in which explainability is a first-class agent rather than a post-hoc summary, paired with a Critic that reviews the draft answer and can trigger a second pass when evidence is missing.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 typed trace-event protocol (TrajectoryEvent, ToolUseEvent, MemoryDiff, AgentMessage, AgentPlan, CausalEdge, AccountabilityReport) that the Explanation Agent consumes verbatim, preventing the explanation from inventing history.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 composite responsibility scorer that fuses six observable signals with question-type priors, designed so an agent cannot achieve a high score by writing voluminous unused memory.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An evaluation suite combining task accuracy with three explanation-faithfulness metrics — sufficiency, necessity, and stability — and four attribution-quality monitors that run read-only over stored records.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An open-source reference implementation with a 614-test pytest suite, FastAPI backend, Streamlit dashboard with seven tabs, and manual-review tool over a deterministic 500-record sample.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2.  System Architecture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The system implements a five-stage pipeline (Figure 1, Slide 5 of the deck). All inter-agent communication is mediated by a shared, append-only trace bus: every agent writes to it, and the Explanation Agent reads from it. No agent can fabricate a citation that has no corresponding bus event. This invariant is the structural basis for the system's faithfulness claims.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2.1  Agents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(1) Planner Agent. Receives the raw user query and emits an ordered plan of sub-goals. The plan is LLM-generated per case — different inputs produce different intended trajectories, which is what makes plan-deviation a meaningful XAI signal. In the code base this role is implemented by the Orchestrator class, which dynamically routes between specialists turn-by-turn and may re-call any specialist with free-form feedback.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(2) Retrieval Agent. Fetches relevant evidence from a FAISS index built over a corpus of 18 English medical textbooks (Harrison's Internal Medicine, Robbins, First Aid, …) using all-MiniLM-L6-v2 embeddings. The agent has access to four LangChain-bound tools: symptom_lookup, severity_scorer, guideline_lookup, and textbook_search. Tool selection is LLM-decided per case, not scripted. In the code base, retrieval responsibilities are split between Specialist A (symptom + severity) and Specialist B (textbook + guideline).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(3) Reasoning Agent. Synthesizes retrieved evidence into a candidate answer with option-level rationale. Records which evidence IDs it actually used in supporting_evidence_ids. A recently-added chain-of-thought fallback recovers the answer letter when the LLM emits its conclusion in prose ('the final answer is $\boxed{B}$') rather than populating the structured predicted_letter field — a parser improvement that prevents well-reasoned but loosely-formatted responses from being discarded as unparseable. Implemented in the code base by the Synthesizer class.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(4) Explanation Agent. Reads the trace bus and produces the accountability report: per-agent responsibility scores, root cause event, supporting evidence IDs, plan-deviation summary, and a one-line natural-language explanation. The agent CAN ONLY cite events visible on the bus; this is the structural constraint that makes our explanations faithful by construction.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(5) Final Output Layer. Bundles answer, explanation, evidence list, and confidence into a single response, and persists the full trace to a SQLite store (nine tables, all keyed by task_id). Critic agent: a sixth component reviews the Reasoning Agent's draft and emits a strict-JSON {needs_revision, missing_considerations} verdict; when revision is needed the Pipeline re-enters the Planner with the missing considerations injected as feedback, producing a second pass before commit.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2.2  Communication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Agents communicate via typed events on a shared trace bus. Every action emits a TrajectoryEvent (who, when, what, outcome); tool calls additionally emit a ToolUseEvent with full inputs/outputs; inter-agent messages emit an AgentMessage with sender, receiver, type, content, and an acted_upon flag set by the receiver. Memory writes inside any traced action emit a MemoryDiff that links back to the parent trajectory event via traced_action — so the trajectory and memory pillars stay synchronised without explicit wiring.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2.3  Explainability production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The Explanation Agent operates over the trace bus in three phases. First it identifies the SUPPORTING events — the subset of trace events whose memory writes appear in the Reasoning Agent's rationale. Second it builds a temporal causal DAG over the trajectory events with edge weights estimated by counterfactual perturbation. Third it scores each agent on six observable signals (§4) and selects a root cause from the non-aggregator ancestors of the answer event, breaking ties by upstream-ness. Each phase logs its own decisions, so the explanation itself is auditable.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3.  Agent Design Details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Each agent is implemented as a thin LLM-powered controller wrapped in a tracing decorator (TracedAgent) that automatically emits the appropriate trace events. Memory writes inside a traced_action context are linked to the parent event; tool invocations through @traced_tool capture inputs, outputs, and downstream impact. This means agent authors do not write instrumentation — they get it for free by inheriting from TracedAgent and using the provided context manager.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Tools available to the Retrieval Agent include symptom_lookup (local FAISS over a symptom-condition index), severity_scorer (LLM-rated 0-1 score given the patient case and a candidate condition), guideline_lookup (curated guideline-snippet stub), and textbook_search (FAISS over the 18-textbook corpus). The function signature (query: str, k: int) → List[dict] is the contract every downstream consumer expects, so swapping in a real PubMed/E-utilities client is a one-file change.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Routing between agents is similarly LLM-decided. After the Reasoning Agent produces a draft, the Critic reviews it and may trigger a self-revision loop in which the Planner re-routes with feedback. The revision is capped at a single pass to prevent infinite loops; the revision count is stored on the system_output record so reviewers can see whether a case was answered in one shot or after correction.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4.  Explainability Mechanism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adapt a seven-pillar explainability framework that decomposes agentic behaviour into orthogonal dimensions, each captured by a specific trace-event type: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Trajectory — ordered log of every action and state transition (TrajectoryEvent).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Plans — intended actions vs. actual actions; deviation detection (AgentPlan).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Tool provenance — which tool was called, by whom, with what counterfactual impact (ToolUseEvent).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Memory — every write with before/after diff, attributable to the trajectory event that produced it (MemoryDiff, MemoryUsage).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Communication — inter-agent messages and whether they caused observable behaviour change (AgentMessage).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Causality — temporal causal DAG with counterfactual-estimated edge strengths (CausalEdge).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Accountability — composite responsibility scores combining counterfactual delta, tool impact, message efficacy, used memory, self-reported usefulness, and causal centrality, with a question-type prior to dampen scores when an agent's specialty doesn't match the question type (AccountabilityReport).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Responsibility scores combine six observable signals — counterfactual outcome change (weight 0.35), tool downstream impact (0.20), message efficacy (0.15), memory used (0.15), self-reported usefulness (0.10), and causal centrality (0.05) — multiplied by a question-type prior produced by a regex classifier over nine question types (diagnosis, treatment, screening, pharmacology, mechanism, risk_factor, anatomy, prognosis, unknown). The composite is designed so an agent cannot achieve a high score by writing voluminous memory the Synthesizer's prompt structurally read but did not actually use; the memory_used signal explicitly down-weights such cases.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5.  Experimental Setup and Evaluation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5.1  Dataset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evaluate on the MedQA-US benchmark — USMLE-style multiple-choice questions with five answer options (A–E) and detailed clinical stems. We use a 100-record sample from the dev split, with 10 stability rephrase samples drawn at random and rephrased by an independent LLM call with a strict prompt to preserve clinical facts. The same 100-record sample size matches the prior baseline run so all comparisons are apples-to-apples.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5.2  Metrics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report five metrics: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Task accuracy — fraction of questions answered correctly.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XAI sufficiency — fraction of cases in which preserving only the top-1 responsible agent's memory still produces the same answer (high = the explanation pointed at the right agent).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XAI necessity — fraction of cases in which zeroing the top-1 agent's memory FLIPS the answer (high = the top-1 agent is genuinely doing work, not just structurally read).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Stability — Spearman rank correlation of responsibility scores across rephrased prompts (high = the score reflects underlying reasoning, not lexical surface).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Confidence calibration — agreement between self-reported confidence and observed accuracy across ten bins.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A sixth metric — faithfulness, defined as the fraction of cases where zeroing the root-cause agent's memory flips the outcome — was undefined for this sample (denominator zero); we discuss the cause in §6.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5.3  Counterfactual engine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Sufficiency, necessity, and the responsibility scorer's counterfactual signal are all computed by re-running the pipeline with one element of the original run perturbed. Three perturbation types are supported: Type 1 replaces a tool's return value with a neutral stub; Type 2 replaces an agent's memory dict wholesale with an empty dict; Type 3 replaces an inter-agent message body with a placeholder. The engine uses Pipeline.resume_from() to re-run only the affected suffix, so a full sweep over a 100-record sample is tractable on commodity hardware.</w:t>
      </w:r>
    </w:p>
    <w:p>
      <w:pPr>
        <w:spacing w:before="160" w:after="40"/>
      </w:pPr>
      <w:r>
        <w:rPr>
          <w:rFonts w:ascii="Calibri" w:hAnsi="Calibri"/>
          <w:b/>
          <w:color w:val="0E7490"/>
          <w:sz w:val="22"/>
        </w:rPr>
        <w:t>5.4  Headline results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Headline numbers from the May 2026 evaluation run: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0E749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04"/>
            <w:shd w:val="clear" w:color="auto" w:fill="0E749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 (May 2026)</w:t>
            </w:r>
          </w:p>
        </w:tc>
        <w:tc>
          <w:tcPr>
            <w:tcW w:type="dxa" w:w="4896"/>
            <w:shd w:val="clear" w:color="auto" w:fill="0E749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448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Task accuracy</w:t>
            </w:r>
          </w:p>
        </w:tc>
        <w:tc>
          <w:tcPr>
            <w:tcW w:type="dxa" w:w="2304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74.0%</w:t>
            </w:r>
          </w:p>
        </w:tc>
        <w:tc>
          <w:tcPr>
            <w:tcW w:type="dxa" w:w="4896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74 / 100 MedQA-US dev cases solved (vs. 48.0% prior baseline).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color w:val="1A2132"/>
                <w:sz w:val="19"/>
              </w:rPr>
              <w:t>XAI sufficiency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color w:val="1A2132"/>
                <w:sz w:val="19"/>
              </w:rPr>
              <w:t>93.0%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color w:val="1A2132"/>
                <w:sz w:val="19"/>
              </w:rPr>
              <w:t>Top-1 agent's memory alone suffices in 93/100 cases.</w:t>
            </w:r>
          </w:p>
        </w:tc>
      </w:tr>
      <w:tr>
        <w:tc>
          <w:tcPr>
            <w:tcW w:type="dxa" w:w="2448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XAI necessity</w:t>
            </w:r>
          </w:p>
        </w:tc>
        <w:tc>
          <w:tcPr>
            <w:tcW w:type="dxa" w:w="2304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19.0%</w:t>
            </w:r>
          </w:p>
        </w:tc>
        <w:tc>
          <w:tcPr>
            <w:tcW w:type="dxa" w:w="4896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Zeroing top-1 agent flips 19/100 answers — at high accuracy no single agent dominates.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color w:val="1A2132"/>
                <w:sz w:val="19"/>
              </w:rPr>
              <w:t>Stability (Spearman ρ)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color w:val="1A2132"/>
                <w:sz w:val="19"/>
              </w:rPr>
              <w:t>0.71 ± 0.53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color w:val="1A2132"/>
                <w:sz w:val="19"/>
              </w:rPr>
              <w:t>9/10 valid rephrase pairs — score reproducible across paraphrase.</w:t>
            </w:r>
          </w:p>
        </w:tc>
      </w:tr>
      <w:tr>
        <w:tc>
          <w:tcPr>
            <w:tcW w:type="dxa" w:w="2448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Confidence calibration</w:t>
            </w:r>
          </w:p>
        </w:tc>
        <w:tc>
          <w:tcPr>
            <w:tcW w:type="dxa" w:w="2304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Tightened</w:t>
            </w:r>
          </w:p>
        </w:tc>
        <w:tc>
          <w:tcPr>
            <w:tcW w:type="dxa" w:w="4896"/>
            <w:shd w:val="clear" w:color="auto" w:fill="ECFEFF"/>
          </w:tcPr>
          <w:p>
            <w:r>
              <w:rPr>
                <w:rFonts w:ascii="Calibri" w:hAnsi="Calibri"/>
                <w:color w:val="1A2132"/>
                <w:sz w:val="19"/>
              </w:rPr>
              <w:t>96/100 predictions ≥ 0.80; accuracy in those bins ~73% (top bin 76%) — overconfident but tighter than baseline (~50%).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6.  Observations and Insights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Several findings stand out. First, sufficiency at 93.0% paired with stability ρ of 0.71 indicates the responsibility scorer reliably names the same agent across LLM rephrases of the same case — the score that survives paraphrase is the score we trust. In our prior baseline, stability was 0.20 ± 0.98 over five valid rephrase pairs (essentially noise); the current 0.71 ± 0.53 over nine valid pairs is genuine signal.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Second, necessity dropped from 53.5% (Apr) to 19.0% (May) even as accuracy rose from 48% to 74%. We interpret this as a regime change rather than a regression. At higher accuracy, the answer is supported by multiple agents in concert; zeroing any single agent's memory rarely flips the outcome because the team has redundant paths to the same conclusion. Two interpretations remain consistent with the evidence: genuinely team-driven reasoning (good), or Synthesizer dominance in which the Synthesizer's prior carries the answer and specialists add colour without overturning it (the failure mode targeted by Phase 5 of our improvement plan). Distinguishing the two requires per-question-type breakdowns we have not yet run.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Third, faithfulness was undefined for this sample (denominator zero) because the metric — by design — only evaluates cases in which the root cause is owned by a Specialist agent and the intervention is memory zeroing. In all 100 cases, the root-cause selector attributed the answer to the Reasoning (Synthesizer) Agent, which the metric's intervention set does not currently support. This is itself a diagnostic finding: it makes Synthesizer dominance directly observable and reproducible. Extending the intervention set to a Type-2-on-Reasoner perturbation is straightforward future work.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Fourth, calibration tightened materially. In the prior baseline, 92 of 100 predictions landed in the [0.8, 1.0] confidence bins with accuracy in those bins of approximately 50%. In the current run, 96 of 100 predictions land in the same bins but accuracy is 73% (top bin: 76%). The system remains overconfident, but the gap between expressed confidence and observed accuracy has narrowed by roughly 25 percentage points. Notably, all 4 records in the lowest confidence bin (0.0–0.1) answered correctly — when the system does express uncertainty, it is right to.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Fifth, the multi-agent decomposition continues to surface failure modes that a monolithic LLM hides: residual irrelevant retrieval on a minority of cases, ignored evidence in the Reasoning Agent's draft, and Synthesizer dominance in the high-accuracy regime. Each is addressable; each is documented.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7.  Limitations and Future Improvements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are explicit about what we have not solved.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Task accuracy at 74% — improved 26 points from baseline but still trailing expert clinicians; the framework's contribution remains the explanation layer, not state-of-the-art QA performance.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Scoring weights are calibrated qualitatively against test fixtures, not against held-out ground-truth attributions. A full ablation against an expert-rated dataset is the highest-value next experiment.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Necessity at 19% reflects a regime change we have not yet diagnosed. Either the team has become genuinely robust, or the Synthesizer's prior is carrying the answer (Synthesizer dominance). Per-question-type breakdowns will distinguish.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Faithfulness coverage is incomplete: the root-cause selector's specialist-only filter excluded all 100 cases in this run. Extending the intervention set to a Reasoning-Agent perturbation is required before the metric becomes informative on this regime.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The memory-used signal uses substring overlap as a proxy for 'memory was actually used'. Embedding-based citation matching would be more sensitive to deep paraphrase.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Confidence is still overconfident, though noticeably tightened from baseline. A learned calibration head trained on outcome history is required before deployment.</w:t>
      </w:r>
    </w:p>
    <w:p>
      <w:pPr>
        <w:pStyle w:val="ListBullet"/>
        <w:spacing w:after="60"/>
      </w:pPr>
      <w:r>
        <w:rPr>
          <w:rFonts w:ascii="Calibri" w:hAnsi="Calibri"/>
          <w:color w:val="1A2132"/>
          <w:sz w:val="21"/>
        </w:rPr>
        <w:t>Generality is unproven — the framework is designed to be domain-agnostic but has only been instrumented on English medical questions. A second domain (code agents, RAG agents) is the cleanest test of the seven-pillar framework's portability.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Planned next steps include: (i) calibrate scoring weights against an expert-rated attribution set; (ii) add a learned calibration head; (iii) extend the counterfactual engine to perturb the Reasoning Agent's draft directly so faithfulness becomes measurable on the high-accuracy regime; (iv) port the framework to a non-medical domain to test generality; (v) collect manual review ratings on the deterministic 500-record sample and publish inter-rater agreement.</w:t>
      </w:r>
    </w:p>
    <w:p>
      <w:pPr>
        <w:spacing w:before="240" w:after="80"/>
      </w:pPr>
      <w:r>
        <w:rPr>
          <w:rFonts w:ascii="Calibri" w:hAnsi="Calibri"/>
          <w:b/>
          <w:color w:val="141B30"/>
          <w:sz w:val="28"/>
        </w:rPr>
        <w:t>8.  Reproducibility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All code, data loaders, evaluation scripts, and this report are available at https://github.com/harjeetschahal/AgentXAI under the MIT license. The repository includes a 614-test pytest suite (6 slow integration tests gated by --run-slow), an idempotent FAISS index builder for the textbook corpus, three evaluation runners with different cost/coverage trade-offs, and a Streamlit dashboard with seven tabs plus a manual-review tool.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To reproduce the headline results: (1) clone the repository; (2) python -m venv venv &amp;&amp; source venv/bin/activate; (3) pip install -r requirements.txt; (4) set GOOGLE_API_KEY (or comma-separated GOOGLE_API_KEYS for multi-key rotation) in .env; (5) make index to build the FAISS textbook index (~5 min on CPU); (6) make run-eval to run the five-metric evaluation; (7) make dashboard to launch the Streamlit dashboard. The full evaluation on 100 records completes in approximately 90 minutes on Gemini Flash Lite at well under 1 USD in API cost.</w:t>
      </w:r>
    </w:p>
    <w:p>
      <w:pPr>
        <w:spacing w:before="280" w:after="80"/>
      </w:pPr>
      <w:r>
        <w:rPr>
          <w:rFonts w:ascii="Calibri" w:hAnsi="Calibri"/>
          <w:b/>
          <w:color w:val="141B30"/>
          <w:sz w:val="24"/>
        </w:rPr>
        <w:t>Acknowledgements</w:t>
      </w:r>
    </w:p>
    <w:p>
      <w:pPr>
        <w:spacing w:after="120"/>
        <w:jc w:val="both"/>
      </w:pPr>
      <w:r>
        <w:rPr>
          <w:rFonts w:ascii="Calibri" w:hAnsi="Calibri"/>
          <w:i w:val="0"/>
          <w:color w:val="1A2132"/>
          <w:sz w:val="21"/>
        </w:rPr>
        <w:t>We thank the MedQA authors for releasing the corpus, and the open-source maintainers of LangChain, FAISS, FastAPI, Streamlit, SQLAlchemy, and python-pptx, without which this work would have taken substantially longer. The chain-of-thought letter-extraction parser added to the Reasoning Agent (May 2026) was inspired by repeated observation of the LLM emitting '$\boxed{B}$'-style answers in its rationale rather than populating the structured predicted_letter field; the resulting 27-test fallback module is now part of the test suite.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