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200"/>
        <w:jc w:val="left"/>
      </w:pPr>
      <w:r>
        <w:drawing>
          <wp:inline distT="0" distB="0" distL="0" distR="0">
            <wp:extent cx="152400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4C9BE8"/>
          <w:spacing w:val="80"/>
          <w:sz w:val="18"/>
          <w:szCs w:val="18"/>
        </w:rPr>
        <w:t xml:space="preserve">DISEASE INTELLIGENCE REPORT</w:t>
      </w:r>
    </w:p>
    <w:p>
      <w:pPr>
        <w:spacing w:after="240" w:before="120"/>
      </w:pPr>
      <w:r>
        <w:rPr>
          <w:rFonts w:ascii="Calibri" w:cs="Calibri" w:eastAsia="Calibri" w:hAnsi="Calibri"/>
          <w:b/>
          <w:bCs/>
          <w:color w:val="0F2D50"/>
          <w:sz w:val="72"/>
          <w:szCs w:val="72"/>
        </w:rPr>
        <w:t xml:space="preserve">Alzheimer's disease</w:t>
      </w:r>
    </w:p>
    <w:p>
      <w:pPr>
        <w:spacing w:after="960" w:before="0"/>
      </w:pPr>
      <w:r>
        <w:rPr>
          <w:rFonts w:ascii="Calibri" w:cs="Calibri" w:eastAsia="Calibri" w:hAnsi="Calibri"/>
          <w:color w:val="4A7FA5"/>
          <w:sz w:val="28"/>
          <w:szCs w:val="28"/>
        </w:rPr>
        <w:t xml:space="preserve">Comprehensive Clinical &amp; Market Intelligence</w:t>
      </w:r>
    </w:p>
    <w:p>
      <w:pPr>
        <w:pBdr>
          <w:bottom w:val="single" w:color="4C9BE8" w:sz="12" w:space="1"/>
        </w:pBdr>
        <w:spacing w:after="360" w:before="0"/>
      </w:pP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4A7FA5"/>
          <w:sz w:val="20"/>
          <w:szCs w:val="20"/>
        </w:rPr>
        <w:t xml:space="preserve">Prepared by:  </w:t>
      </w:r>
      <w:r>
        <w:rPr>
          <w:rFonts w:ascii="Calibri" w:cs="Calibri" w:eastAsia="Calibri" w:hAnsi="Calibri"/>
          <w:color w:val="1E2D3D"/>
          <w:sz w:val="20"/>
          <w:szCs w:val="20"/>
        </w:rPr>
        <w:t xml:space="preserve">Aganitha Cognitive Solutions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4A7FA5"/>
          <w:sz w:val="20"/>
          <w:szCs w:val="20"/>
        </w:rPr>
        <w:t xml:space="preserve">Generated:  </w:t>
      </w:r>
      <w:r>
        <w:rPr>
          <w:rFonts w:ascii="Calibri" w:cs="Calibri" w:eastAsia="Calibri" w:hAnsi="Calibri"/>
          <w:color w:val="1E2D3D"/>
          <w:sz w:val="20"/>
          <w:szCs w:val="20"/>
        </w:rPr>
        <w:t xml:space="preserve">14 May 2026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4A7FA5"/>
          <w:sz w:val="20"/>
          <w:szCs w:val="20"/>
        </w:rPr>
        <w:t xml:space="preserve">Classification:  </w:t>
      </w:r>
      <w:r>
        <w:rPr>
          <w:rFonts w:ascii="Calibri" w:cs="Calibri" w:eastAsia="Calibri" w:hAnsi="Calibri"/>
          <w:color w:val="1E2D3D"/>
          <w:sz w:val="20"/>
          <w:szCs w:val="20"/>
        </w:rPr>
        <w:t xml:space="preserve">Confidential — For Internal Research Use Only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4A7FA5"/>
          <w:sz w:val="20"/>
          <w:szCs w:val="20"/>
        </w:rPr>
        <w:t xml:space="preserve">Intended Use:  </w:t>
      </w:r>
      <w:r>
        <w:rPr>
          <w:rFonts w:ascii="Calibri" w:cs="Calibri" w:eastAsia="Calibri" w:hAnsi="Calibri"/>
          <w:color w:val="1E2D3D"/>
          <w:sz w:val="20"/>
          <w:szCs w:val="20"/>
        </w:rPr>
        <w:t xml:space="preserve">AI-generated report for internal research purposes only</w:t>
      </w:r>
    </w:p>
    <w:p>
      <w:pPr>
        <w:spacing w:before="240"/>
      </w:pPr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Alzheimer's disease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Comprehensive pharmaceutical disease landscape report covering epidemiology, pathophysiology, clinical presentation, diagnosis, treatment, pipeline and market dynamics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Prepared by:</w:t>
      </w:r>
      <w:r>
        <w:rPr>
          <w:sz w:val="22"/>
          <w:szCs w:val="22"/>
        </w:rPr>
        <w:t xml:space="preserve"> Aganitha Cognitive Solutions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Generated:</w:t>
      </w:r>
      <w:r>
        <w:rPr>
          <w:sz w:val="22"/>
          <w:szCs w:val="22"/>
        </w:rPr>
        <w:t xml:space="preserve"> 14 May 2026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Classification:</w:t>
      </w:r>
      <w:r>
        <w:rPr>
          <w:sz w:val="22"/>
          <w:szCs w:val="22"/>
        </w:rPr>
        <w:t xml:space="preserve"> Confidential — For Internal Research Use Only</w:t>
      </w:r>
    </w:p>
    <w:p>
      <w:pPr>
        <w:pBdr>
          <w:bottom w:val="single" w:color="4C9BE8" w:sz="6" w:space="1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Table of Contents</w:t>
      </w:r>
    </w:p>
    <w:p>
      <w:pPr>
        <w:spacing w:after="100"/>
      </w:pPr>
      <w:r>
        <w:rPr>
          <w:sz w:val="22"/>
          <w:szCs w:val="22"/>
        </w:rPr>
        <w:t xml:space="preserve">1. [Disease Overview](#disease-overview)</w:t>
      </w:r>
    </w:p>
    <w:p>
      <w:pPr>
        <w:spacing w:after="100"/>
      </w:pPr>
      <w:r>
        <w:rPr>
          <w:sz w:val="22"/>
          <w:szCs w:val="22"/>
        </w:rPr>
        <w:t xml:space="preserve">2. [Epidemiology](#epidemiology)</w:t>
      </w:r>
    </w:p>
    <w:p>
      <w:pPr>
        <w:spacing w:after="100"/>
      </w:pPr>
      <w:r>
        <w:rPr>
          <w:sz w:val="22"/>
          <w:szCs w:val="22"/>
        </w:rPr>
        <w:t xml:space="preserve">3. [Etiology &amp; Risk Factors](#etiology--risk-factors)</w:t>
      </w:r>
    </w:p>
    <w:p>
      <w:pPr>
        <w:pBdr>
          <w:bottom w:val="single" w:color="4C9BE8" w:sz="6" w:space="1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Disease Overview</w:t>
      </w:r>
    </w:p>
    <w:p>
      <w:pPr>
        <w:spacing w:after="100"/>
      </w:pPr>
      <w:r>
        <w:rPr>
          <w:sz w:val="22"/>
          <w:szCs w:val="22"/>
        </w:rPr>
        <w:t xml:space="preserve">Systemic Lupus Erythematosus (SLE) is a chronic, multisystem autoimmune disorder characterized by a loss of self-tolerance and the production of pathogenic autoantibodies targeting various nuclear antigens.</w:t>
      </w:r>
    </w:p>
    <w:p>
      <w:pPr>
        <w:pBdr>
          <w:bottom w:val="single" w:color="4C9BE8" w:sz="6" w:space="1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Epidemiology</w:t>
      </w:r>
    </w:p>
    <w:p>
      <w:pPr>
        <w:pStyle w:val="Heading3"/>
      </w:pPr>
      <w:r>
        <w:rPr>
          <w:b/>
          <w:bCs/>
        </w:rPr>
        <w:t xml:space="preserve">Prevalence</w:t>
      </w:r>
    </w:p>
    <w:p>
      <w:pPr>
        <w:spacing w:after="100"/>
      </w:pPr>
      <w:r>
        <w:rPr>
          <w:sz w:val="22"/>
          <w:szCs w:val="22"/>
        </w:rPr>
        <w:t xml:space="preserve">Approximately 1 in 1,000 globally (100 per 100,000 population).</w:t>
      </w:r>
    </w:p>
    <w:p>
      <w:pPr>
        <w:pStyle w:val="Heading3"/>
      </w:pPr>
      <w:r>
        <w:rPr>
          <w:b/>
          <w:bCs/>
        </w:rPr>
        <w:t xml:space="preserve">Incidence Rate</w:t>
      </w:r>
    </w:p>
    <w:p>
      <w:pPr>
        <w:spacing w:after="100"/>
      </w:pPr>
      <w:r>
        <w:rPr>
          <w:sz w:val="22"/>
          <w:szCs w:val="22"/>
        </w:rPr>
        <w:t xml:space="preserve">5.1 per 100,000 per year globally.</w:t>
      </w:r>
    </w:p>
    <w:p>
      <w:pPr>
        <w:pStyle w:val="Heading3"/>
      </w:pPr>
      <w:r>
        <w:rPr>
          <w:b/>
          <w:bCs/>
        </w:rPr>
        <w:t xml:space="preserve">Geographic Distribution</w:t>
      </w:r>
    </w:p>
    <w:p>
      <w:pPr>
        <w:spacing w:after="100"/>
      </w:pPr>
      <w:r>
        <w:rPr>
          <w:sz w:val="22"/>
          <w:szCs w:val="22"/>
        </w:rPr>
        <w:t xml:space="preserve">| Region | Prevalence Per 100k | Notes |</w:t>
      </w:r>
    </w:p>
    <w:p>
      <w:pPr>
        <w:spacing w:after="100"/>
      </w:pPr>
      <w:r>
        <w:rPr>
          <w:sz w:val="22"/>
          <w:szCs w:val="22"/>
        </w:rPr>
        <w:t xml:space="preserve">| --- | --- | --- |</w:t>
      </w:r>
    </w:p>
    <w:p>
      <w:pPr>
        <w:spacing w:after="100"/>
      </w:pPr>
      <w:r>
        <w:rPr>
          <w:sz w:val="22"/>
          <w:szCs w:val="22"/>
        </w:rPr>
        <w:t xml:space="preserve">| North America | 150 | Highest in African American and Hispanic women. |</w:t>
      </w:r>
    </w:p>
    <w:p>
      <w:pPr>
        <w:spacing w:after="100"/>
      </w:pPr>
      <w:r>
        <w:rPr>
          <w:sz w:val="22"/>
          <w:szCs w:val="22"/>
        </w:rPr>
        <w:t xml:space="preserve">| Europe | 120 | Higher in Southern Europe. |</w:t>
      </w:r>
    </w:p>
    <w:p>
      <w:pPr>
        <w:pStyle w:val="Heading3"/>
      </w:pPr>
      <w:r>
        <w:rPr>
          <w:b/>
          <w:bCs/>
        </w:rPr>
        <w:t xml:space="preserve">Demographics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Age Group:</w:t>
      </w:r>
      <w:r>
        <w:rPr>
          <w:sz w:val="22"/>
          <w:szCs w:val="22"/>
        </w:rPr>
        <w:t xml:space="preserve"> 15 to 45 years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Sex Distribution:</w:t>
      </w:r>
      <w:r>
        <w:rPr>
          <w:sz w:val="22"/>
          <w:szCs w:val="22"/>
        </w:rPr>
        <w:t xml:space="preserve"> 9:1 female-to-male ratio</w:t>
      </w:r>
    </w:p>
    <w:p>
      <w:pPr>
        <w:spacing w:after="240" w:before="24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4C9BE8" w:sz="6" w:space="1"/>
        </w:pBdr>
        <w:spacing w:after="200" w:before="200"/>
      </w:pPr>
    </w:p>
    <w:p>
      <w:pPr>
        <w:pStyle w:val="Heading2"/>
      </w:pPr>
      <w:r>
        <w:rPr>
          <w:b/>
          <w:bCs/>
        </w:rPr>
        <w:t xml:space="preserve">Etiology &amp; Risk Factors</w:t>
      </w:r>
    </w:p>
    <w:p>
      <w:pPr>
        <w:spacing w:after="100"/>
      </w:pPr>
      <w:r>
        <w:rPr>
          <w:sz w:val="22"/>
          <w:szCs w:val="22"/>
        </w:rPr>
        <w:t xml:space="preserve">Multiple Sclerosis (MS) is a complex neuroinflammatory disease resulting from the convergence of a polygenic risk profile and specific environmental catalysts.</w:t>
      </w:r>
    </w:p>
    <w:p>
      <w:pPr>
        <w:spacing w:after="240" w:before="24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4C9BE8" w:sz="6" w:space="1"/>
        </w:pBdr>
        <w:spacing w:after="200" w:before="200"/>
      </w:pP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FF0" w:sz="4" w:space="1"/>
      </w:pBdr>
    </w:pPr>
    <w:r>
      <w:rPr>
        <w:color w:val="999999"/>
        <w:sz w:val="17"/>
        <w:szCs w:val="17"/>
      </w:rPr>
      <w:t xml:space="preserve">Aganitha Cognitive Solutions  ·  Confidential  ·  Page </w:t>
    </w:r>
    <w:r>
      <w:rPr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7"/>
        <w:szCs w:val="17"/>
      </w:rPr>
      <w:t xml:space="preserve"> of </w:t>
    </w:r>
    <w:r>
      <w:rPr>
        <w:color w:val="99999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FF0" w:sz="4" w:space="1"/>
      </w:pBdr>
    </w:pPr>
    <w:r>
      <w:rPr>
        <w:color w:val="4A7FA5"/>
        <w:sz w:val="17"/>
        <w:szCs w:val="17"/>
      </w:rPr>
      <w:t xml:space="preserve">Alzheimer's disease  ·  Disease Intelligence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0F2D5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cs="Calibri" w:eastAsia="Calibri" w:hAnsi="Calibri"/>
      <w:b/>
      <w:bCs/>
      <w:color w:val="065A82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1C729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b02f4d749035137b14f344d9718f91bfa15529b.png"/><Relationship Id="rId10" Type="http://schemas.openxmlformats.org/officeDocument/2006/relationships/image" Target="media/ac3b4afdf79cda20e0123c71353c6eb0786ff565.png"/><Relationship Id="rId11" Type="http://schemas.openxmlformats.org/officeDocument/2006/relationships/image" Target="media/dcc976d0db929c627357ab0fb8fceb8f237c025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2026-05-14T09:11:47.926Z</dcterms:created>
  <dcterms:modified xsi:type="dcterms:W3CDTF">2026-05-14T09:11:47.927Z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