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2162" w:rsidRPr="00B97D27" w:rsidRDefault="00CD2162">
      <w:pPr>
        <w:spacing w:before="1400"/>
        <w:rPr>
          <w:rFonts w:ascii="Times New Roman" w:hAnsi="Times New Roman" w:cs="Times New Roman"/>
        </w:rPr>
      </w:pPr>
    </w:p>
    <w:p w:rsidR="00CD2162" w:rsidRPr="00B97D27" w:rsidRDefault="00B97D27">
      <w:pPr>
        <w:spacing w:after="120"/>
        <w:rPr>
          <w:rFonts w:ascii="Times New Roman" w:hAnsi="Times New Roman" w:cs="Times New Roman"/>
        </w:rPr>
      </w:pPr>
      <w:r w:rsidRPr="00B97D27">
        <w:rPr>
          <w:rFonts w:ascii="Times New Roman" w:hAnsi="Times New Roman" w:cs="Times New Roman"/>
          <w:b/>
          <w:bCs/>
          <w:sz w:val="20"/>
          <w:szCs w:val="20"/>
        </w:rPr>
        <w:t>FIN 545 · WORKSHOP ON FINANCIAL MODELLING</w:t>
      </w:r>
    </w:p>
    <w:p w:rsidR="00CD2162" w:rsidRPr="00B97D27" w:rsidRDefault="00B97D27">
      <w:pPr>
        <w:pBdr>
          <w:bottom w:val="single" w:sz="12" w:space="8" w:color="1F3864"/>
        </w:pBdr>
        <w:spacing w:after="160"/>
        <w:rPr>
          <w:rFonts w:ascii="Times New Roman" w:hAnsi="Times New Roman" w:cs="Times New Roman"/>
        </w:rPr>
      </w:pPr>
      <w:r w:rsidRPr="00B97D27">
        <w:rPr>
          <w:rFonts w:ascii="Times New Roman" w:hAnsi="Times New Roman" w:cs="Times New Roman"/>
          <w:b/>
          <w:bCs/>
          <w:sz w:val="52"/>
          <w:szCs w:val="52"/>
        </w:rPr>
        <w:t>Financial Feasibility &amp; Investment Decision Report</w:t>
      </w:r>
    </w:p>
    <w:p w:rsidR="00CD2162" w:rsidRPr="00B97D27" w:rsidRDefault="00B97D27">
      <w:pPr>
        <w:spacing w:before="240" w:after="60"/>
        <w:rPr>
          <w:rFonts w:ascii="Times New Roman" w:hAnsi="Times New Roman" w:cs="Times New Roman"/>
        </w:rPr>
      </w:pPr>
      <w:r w:rsidRPr="00B97D27">
        <w:rPr>
          <w:rFonts w:ascii="Times New Roman" w:hAnsi="Times New Roman" w:cs="Times New Roman"/>
          <w:b/>
          <w:bCs/>
          <w:sz w:val="40"/>
          <w:szCs w:val="40"/>
        </w:rPr>
        <w:t>Campus Brew Café</w:t>
      </w:r>
    </w:p>
    <w:p w:rsidR="00CD2162" w:rsidRPr="00B97D27" w:rsidRDefault="00B97D27">
      <w:pPr>
        <w:spacing w:after="700"/>
        <w:rPr>
          <w:rFonts w:ascii="Times New Roman" w:hAnsi="Times New Roman" w:cs="Times New Roman"/>
        </w:rPr>
      </w:pPr>
      <w:r w:rsidRPr="00B97D27">
        <w:rPr>
          <w:rFonts w:ascii="Times New Roman" w:hAnsi="Times New Roman" w:cs="Times New Roman"/>
          <w:sz w:val="24"/>
          <w:szCs w:val="24"/>
        </w:rPr>
        <w:t>A 30-seat café near Lovely Professional University, Phagwara, Punjab</w:t>
      </w:r>
    </w:p>
    <w:tbl>
      <w:tblPr>
        <w:tblW w:w="898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786"/>
        <w:gridCol w:w="6196"/>
      </w:tblGrid>
      <w:tr w:rsidR="00CD2162" w:rsidRPr="00B97D27" w:rsidTr="00477973">
        <w:trPr>
          <w:cantSplit/>
          <w:trHeight w:val="525"/>
          <w:tblHeader/>
        </w:trPr>
        <w:tc>
          <w:tcPr>
            <w:tcW w:w="278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9"/>
                <w:szCs w:val="19"/>
              </w:rPr>
              <w:t>Item</w:t>
            </w:r>
          </w:p>
        </w:tc>
        <w:tc>
          <w:tcPr>
            <w:tcW w:w="619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9"/>
                <w:szCs w:val="19"/>
              </w:rPr>
              <w:t>Detail</w:t>
            </w:r>
          </w:p>
        </w:tc>
      </w:tr>
      <w:tr w:rsidR="00CD2162" w:rsidRPr="00B97D27" w:rsidTr="00477973">
        <w:trPr>
          <w:cantSplit/>
          <w:trHeight w:val="525"/>
        </w:trPr>
        <w:tc>
          <w:tcPr>
            <w:tcW w:w="278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9"/>
                <w:szCs w:val="19"/>
              </w:rPr>
              <w:t>Academic Task</w:t>
            </w:r>
          </w:p>
        </w:tc>
        <w:tc>
          <w:tcPr>
            <w:tcW w:w="61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9"/>
                <w:szCs w:val="19"/>
              </w:rPr>
              <w:t>Academic Task 1 (30 marks)</w:t>
            </w:r>
          </w:p>
        </w:tc>
      </w:tr>
      <w:tr w:rsidR="00CD2162" w:rsidRPr="00B97D27" w:rsidTr="00477973">
        <w:trPr>
          <w:cantSplit/>
          <w:trHeight w:val="490"/>
        </w:trPr>
        <w:tc>
          <w:tcPr>
            <w:tcW w:w="278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9"/>
                <w:szCs w:val="19"/>
              </w:rPr>
              <w:t>Course</w:t>
            </w:r>
          </w:p>
        </w:tc>
        <w:tc>
          <w:tcPr>
            <w:tcW w:w="619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9"/>
                <w:szCs w:val="19"/>
              </w:rPr>
              <w:t>FIN 545 – Workshop on Financial Modelling</w:t>
            </w:r>
          </w:p>
        </w:tc>
      </w:tr>
      <w:tr w:rsidR="00CD2162" w:rsidRPr="00B97D27" w:rsidTr="00477973">
        <w:trPr>
          <w:cantSplit/>
          <w:trHeight w:val="490"/>
        </w:trPr>
        <w:tc>
          <w:tcPr>
            <w:tcW w:w="278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9"/>
                <w:szCs w:val="19"/>
              </w:rPr>
              <w:t>Faculty</w:t>
            </w:r>
          </w:p>
        </w:tc>
        <w:tc>
          <w:tcPr>
            <w:tcW w:w="61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9"/>
                <w:szCs w:val="19"/>
              </w:rPr>
              <w:t>Dr Basit</w:t>
            </w:r>
          </w:p>
        </w:tc>
      </w:tr>
      <w:tr w:rsidR="00CD2162" w:rsidRPr="00B97D27" w:rsidTr="00477973">
        <w:trPr>
          <w:cantSplit/>
          <w:trHeight w:val="490"/>
        </w:trPr>
        <w:tc>
          <w:tcPr>
            <w:tcW w:w="278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9"/>
                <w:szCs w:val="19"/>
              </w:rPr>
              <w:t>Programme</w:t>
            </w:r>
          </w:p>
        </w:tc>
        <w:tc>
          <w:tcPr>
            <w:tcW w:w="619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9"/>
                <w:szCs w:val="19"/>
              </w:rPr>
              <w:t>M.Com, Lovely Professional University</w:t>
            </w:r>
          </w:p>
        </w:tc>
      </w:tr>
      <w:tr w:rsidR="00CD2162" w:rsidRPr="00B97D27" w:rsidTr="00477973">
        <w:trPr>
          <w:cantSplit/>
          <w:trHeight w:val="525"/>
        </w:trPr>
        <w:tc>
          <w:tcPr>
            <w:tcW w:w="278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Pr>
                <w:rFonts w:ascii="Times New Roman" w:hAnsi="Times New Roman" w:cs="Times New Roman"/>
                <w:sz w:val="19"/>
                <w:szCs w:val="19"/>
              </w:rPr>
              <w:t>Roll No.</w:t>
            </w:r>
          </w:p>
        </w:tc>
        <w:tc>
          <w:tcPr>
            <w:tcW w:w="61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Pr>
                <w:rFonts w:ascii="Times New Roman" w:hAnsi="Times New Roman" w:cs="Times New Roman"/>
                <w:sz w:val="19"/>
                <w:szCs w:val="19"/>
              </w:rPr>
              <w:t>A15</w:t>
            </w:r>
          </w:p>
        </w:tc>
      </w:tr>
      <w:tr w:rsidR="00CD2162" w:rsidRPr="00B97D27" w:rsidTr="00477973">
        <w:trPr>
          <w:cantSplit/>
          <w:trHeight w:val="525"/>
        </w:trPr>
        <w:tc>
          <w:tcPr>
            <w:tcW w:w="278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9"/>
                <w:szCs w:val="19"/>
              </w:rPr>
              <w:t>Members / Registration nos.</w:t>
            </w:r>
          </w:p>
        </w:tc>
        <w:tc>
          <w:tcPr>
            <w:tcW w:w="619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rsidP="00B97D27">
            <w:pPr>
              <w:keepNext/>
              <w:rPr>
                <w:rFonts w:ascii="Times New Roman" w:hAnsi="Times New Roman" w:cs="Times New Roman"/>
              </w:rPr>
            </w:pPr>
            <w:r w:rsidRPr="00B97D27">
              <w:rPr>
                <w:rFonts w:ascii="Times New Roman" w:hAnsi="Times New Roman" w:cs="Times New Roman"/>
                <w:sz w:val="19"/>
                <w:szCs w:val="19"/>
              </w:rPr>
              <w:t xml:space="preserve">Harleen </w:t>
            </w:r>
            <w:r w:rsidR="00335855">
              <w:rPr>
                <w:rFonts w:ascii="Times New Roman" w:hAnsi="Times New Roman" w:cs="Times New Roman"/>
                <w:sz w:val="19"/>
                <w:szCs w:val="19"/>
              </w:rPr>
              <w:t xml:space="preserve">Kaur </w:t>
            </w:r>
            <w:r w:rsidRPr="00B97D27">
              <w:rPr>
                <w:rFonts w:ascii="Times New Roman" w:hAnsi="Times New Roman" w:cs="Times New Roman"/>
                <w:sz w:val="19"/>
                <w:szCs w:val="19"/>
              </w:rPr>
              <w:t xml:space="preserve"> </w:t>
            </w:r>
            <w:r>
              <w:rPr>
                <w:rFonts w:ascii="Times New Roman" w:hAnsi="Times New Roman" w:cs="Times New Roman"/>
                <w:sz w:val="19"/>
                <w:szCs w:val="19"/>
              </w:rPr>
              <w:t>12514334</w:t>
            </w:r>
          </w:p>
        </w:tc>
      </w:tr>
      <w:tr w:rsidR="00CD2162" w:rsidRPr="00B97D27" w:rsidTr="00477973">
        <w:trPr>
          <w:cantSplit/>
          <w:trHeight w:val="490"/>
        </w:trPr>
        <w:tc>
          <w:tcPr>
            <w:tcW w:w="278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9"/>
                <w:szCs w:val="19"/>
              </w:rPr>
              <w:t>Submission date</w:t>
            </w:r>
          </w:p>
        </w:tc>
        <w:tc>
          <w:tcPr>
            <w:tcW w:w="61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9"/>
                <w:szCs w:val="19"/>
              </w:rPr>
              <w:t>1 October 2026</w:t>
            </w:r>
          </w:p>
        </w:tc>
      </w:tr>
      <w:tr w:rsidR="00CD2162" w:rsidRPr="00B97D27" w:rsidTr="00477973">
        <w:trPr>
          <w:cantSplit/>
          <w:trHeight w:val="490"/>
        </w:trPr>
        <w:tc>
          <w:tcPr>
            <w:tcW w:w="278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9"/>
                <w:szCs w:val="19"/>
              </w:rPr>
              <w:t>Companion workbook</w:t>
            </w:r>
          </w:p>
        </w:tc>
        <w:tc>
          <w:tcPr>
            <w:tcW w:w="619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rsidP="00B97D27">
            <w:pPr>
              <w:keepNext/>
              <w:rPr>
                <w:rFonts w:ascii="Times New Roman" w:hAnsi="Times New Roman" w:cs="Times New Roman"/>
              </w:rPr>
            </w:pPr>
            <w:r w:rsidRPr="00B97D27">
              <w:rPr>
                <w:rFonts w:ascii="Times New Roman" w:hAnsi="Times New Roman" w:cs="Times New Roman"/>
                <w:sz w:val="19"/>
                <w:szCs w:val="19"/>
              </w:rPr>
              <w:t xml:space="preserve">FIN545_Cafe_Feasibility_Model.xlsx </w:t>
            </w:r>
          </w:p>
        </w:tc>
      </w:tr>
      <w:tr w:rsidR="00CD2162" w:rsidRPr="00B97D27" w:rsidTr="00477973">
        <w:trPr>
          <w:cantSplit/>
          <w:trHeight w:val="525"/>
        </w:trPr>
        <w:tc>
          <w:tcPr>
            <w:tcW w:w="278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477973" w:rsidRDefault="00B97D27">
            <w:pPr>
              <w:keepNext/>
              <w:rPr>
                <w:rFonts w:ascii="Times New Roman" w:hAnsi="Times New Roman" w:cs="Times New Roman"/>
                <w:color w:val="C00000"/>
              </w:rPr>
            </w:pPr>
            <w:r w:rsidRPr="00477973">
              <w:rPr>
                <w:rFonts w:ascii="Times New Roman" w:hAnsi="Times New Roman" w:cs="Times New Roman"/>
                <w:color w:val="C00000"/>
                <w:sz w:val="19"/>
                <w:szCs w:val="19"/>
              </w:rPr>
              <w:t>LinkedIn pitch URL</w:t>
            </w:r>
          </w:p>
        </w:tc>
        <w:tc>
          <w:tcPr>
            <w:tcW w:w="619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477973" w:rsidRDefault="00AD7FF2">
            <w:pPr>
              <w:keepNext/>
              <w:rPr>
                <w:rFonts w:ascii="Times New Roman" w:hAnsi="Times New Roman" w:cs="Times New Roman"/>
                <w:color w:val="C00000"/>
              </w:rPr>
            </w:pPr>
            <w:hyperlink r:id="rId7" w:history="1">
              <w:r w:rsidR="00335855" w:rsidRPr="00477973">
                <w:rPr>
                  <w:rStyle w:val="Hyperlink"/>
                  <w:rFonts w:ascii="Times New Roman" w:hAnsi="Times New Roman" w:cs="Times New Roman"/>
                  <w:color w:val="C00000"/>
                  <w:shd w:val="clear" w:color="auto" w:fill="FFFFFF"/>
                </w:rPr>
                <w:t>www.linkedin.com/in/harleen-kaur-b376a0379</w:t>
              </w:r>
            </w:hyperlink>
          </w:p>
        </w:tc>
      </w:tr>
      <w:tr w:rsidR="00CD2162" w:rsidRPr="00B97D27" w:rsidTr="00477973">
        <w:trPr>
          <w:cantSplit/>
          <w:trHeight w:val="525"/>
        </w:trPr>
        <w:tc>
          <w:tcPr>
            <w:tcW w:w="2786"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9"/>
                <w:szCs w:val="19"/>
              </w:rPr>
              <w:t>Investment decision</w:t>
            </w:r>
          </w:p>
        </w:tc>
        <w:tc>
          <w:tcPr>
            <w:tcW w:w="6196"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9"/>
                <w:szCs w:val="19"/>
              </w:rPr>
              <w:t>Invest with Conditions</w:t>
            </w:r>
          </w:p>
        </w:tc>
      </w:tr>
      <w:tr w:rsidR="00477973" w:rsidRPr="00B97D27" w:rsidTr="00477973">
        <w:trPr>
          <w:cantSplit/>
          <w:trHeight w:val="490"/>
        </w:trPr>
        <w:tc>
          <w:tcPr>
            <w:tcW w:w="2786"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477973" w:rsidRPr="00477973" w:rsidRDefault="00477973">
            <w:pPr>
              <w:rPr>
                <w:rFonts w:ascii="Times New Roman" w:hAnsi="Times New Roman" w:cs="Times New Roman"/>
                <w:color w:val="C00000"/>
                <w:sz w:val="19"/>
                <w:szCs w:val="19"/>
              </w:rPr>
            </w:pPr>
            <w:r w:rsidRPr="00477973">
              <w:rPr>
                <w:rFonts w:ascii="Times New Roman" w:hAnsi="Times New Roman" w:cs="Times New Roman"/>
                <w:color w:val="C00000"/>
                <w:sz w:val="19"/>
                <w:szCs w:val="19"/>
              </w:rPr>
              <w:t>EXCEL FILE LINK</w:t>
            </w:r>
          </w:p>
        </w:tc>
        <w:tc>
          <w:tcPr>
            <w:tcW w:w="6196"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477973" w:rsidRPr="00477973" w:rsidRDefault="00477973">
            <w:pPr>
              <w:rPr>
                <w:rFonts w:ascii="Times New Roman" w:hAnsi="Times New Roman" w:cs="Times New Roman"/>
                <w:color w:val="C00000"/>
                <w:sz w:val="19"/>
                <w:szCs w:val="19"/>
              </w:rPr>
            </w:pPr>
            <w:hyperlink r:id="rId8" w:history="1">
              <w:r w:rsidRPr="00477973">
                <w:rPr>
                  <w:rStyle w:val="Hyperlink"/>
                  <w:rFonts w:ascii="Times New Roman" w:hAnsi="Times New Roman" w:cs="Times New Roman"/>
                  <w:color w:val="C00000"/>
                  <w:sz w:val="19"/>
                  <w:szCs w:val="19"/>
                </w:rPr>
                <w:t>https://github.com/harleenkaur</w:t>
              </w:r>
              <w:r w:rsidRPr="00477973">
                <w:rPr>
                  <w:rStyle w:val="Hyperlink"/>
                  <w:rFonts w:ascii="Times New Roman" w:hAnsi="Times New Roman" w:cs="Times New Roman"/>
                  <w:color w:val="C00000"/>
                  <w:sz w:val="19"/>
                  <w:szCs w:val="19"/>
                </w:rPr>
                <w:t>2</w:t>
              </w:r>
              <w:r w:rsidRPr="00477973">
                <w:rPr>
                  <w:rStyle w:val="Hyperlink"/>
                  <w:rFonts w:ascii="Times New Roman" w:hAnsi="Times New Roman" w:cs="Times New Roman"/>
                  <w:color w:val="C00000"/>
                  <w:sz w:val="19"/>
                  <w:szCs w:val="19"/>
                </w:rPr>
                <w:t>0243/Financial-Modelling.git</w:t>
              </w:r>
            </w:hyperlink>
          </w:p>
        </w:tc>
      </w:tr>
    </w:tbl>
    <w:p w:rsidR="00CD2162" w:rsidRPr="00B97D27" w:rsidRDefault="00B97D27">
      <w:pPr>
        <w:rPr>
          <w:rFonts w:ascii="Times New Roman" w:hAnsi="Times New Roman" w:cs="Times New Roman"/>
        </w:rPr>
      </w:pPr>
      <w:r w:rsidRPr="00B97D27">
        <w:rPr>
          <w:rFonts w:ascii="Times New Roman" w:hAnsi="Times New Roman" w:cs="Times New Roman"/>
        </w:rPr>
        <w:br w:type="page"/>
      </w:r>
    </w:p>
    <w:p w:rsidR="00CD2162" w:rsidRPr="00B97D27" w:rsidRDefault="00B97D27">
      <w:pPr>
        <w:pStyle w:val="Heading1"/>
        <w:keepNext/>
        <w:pBdr>
          <w:bottom w:val="single" w:sz="8" w:space="4" w:color="1F3864"/>
        </w:pBdr>
        <w:spacing w:before="240" w:after="160"/>
        <w:rPr>
          <w:rFonts w:ascii="Times New Roman" w:hAnsi="Times New Roman" w:cs="Times New Roman"/>
          <w:color w:val="auto"/>
        </w:rPr>
      </w:pPr>
      <w:r w:rsidRPr="00B97D27">
        <w:rPr>
          <w:rFonts w:ascii="Times New Roman" w:hAnsi="Times New Roman" w:cs="Times New Roman"/>
          <w:b/>
          <w:bCs/>
          <w:color w:val="auto"/>
        </w:rPr>
        <w:lastRenderedPageBreak/>
        <w:t>Contents</w:t>
      </w:r>
    </w:p>
    <w:p w:rsidR="00CD2162" w:rsidRPr="00B97D27" w:rsidRDefault="00B97D27">
      <w:pPr>
        <w:spacing w:after="80" w:line="288" w:lineRule="auto"/>
        <w:rPr>
          <w:rFonts w:ascii="Times New Roman" w:hAnsi="Times New Roman" w:cs="Times New Roman"/>
        </w:rPr>
      </w:pPr>
      <w:r w:rsidRPr="00B97D27">
        <w:rPr>
          <w:rFonts w:ascii="Times New Roman" w:hAnsi="Times New Roman" w:cs="Times New Roman"/>
        </w:rPr>
        <w:t>1. Executive Summary</w:t>
      </w:r>
    </w:p>
    <w:p w:rsidR="00CD2162" w:rsidRPr="00B97D27" w:rsidRDefault="00B97D27">
      <w:pPr>
        <w:spacing w:after="80" w:line="288" w:lineRule="auto"/>
        <w:rPr>
          <w:rFonts w:ascii="Times New Roman" w:hAnsi="Times New Roman" w:cs="Times New Roman"/>
        </w:rPr>
      </w:pPr>
      <w:r w:rsidRPr="00B97D27">
        <w:rPr>
          <w:rFonts w:ascii="Times New Roman" w:hAnsi="Times New Roman" w:cs="Times New Roman"/>
        </w:rPr>
        <w:t>2. Business Opportunity</w:t>
      </w:r>
    </w:p>
    <w:p w:rsidR="00CD2162" w:rsidRPr="00B97D27" w:rsidRDefault="00B97D27">
      <w:pPr>
        <w:spacing w:after="80" w:line="288" w:lineRule="auto"/>
        <w:rPr>
          <w:rFonts w:ascii="Times New Roman" w:hAnsi="Times New Roman" w:cs="Times New Roman"/>
        </w:rPr>
      </w:pPr>
      <w:r w:rsidRPr="00B97D27">
        <w:rPr>
          <w:rFonts w:ascii="Times New Roman" w:hAnsi="Times New Roman" w:cs="Times New Roman"/>
        </w:rPr>
        <w:t>3. Market &amp; Evidence</w:t>
      </w:r>
    </w:p>
    <w:p w:rsidR="00CD2162" w:rsidRPr="00B97D27" w:rsidRDefault="00B97D27">
      <w:pPr>
        <w:spacing w:after="80" w:line="288" w:lineRule="auto"/>
        <w:rPr>
          <w:rFonts w:ascii="Times New Roman" w:hAnsi="Times New Roman" w:cs="Times New Roman"/>
        </w:rPr>
      </w:pPr>
      <w:r w:rsidRPr="00B97D27">
        <w:rPr>
          <w:rFonts w:ascii="Times New Roman" w:hAnsi="Times New Roman" w:cs="Times New Roman"/>
        </w:rPr>
        <w:t>4. Operating Model</w:t>
      </w:r>
    </w:p>
    <w:p w:rsidR="00CD2162" w:rsidRPr="00B97D27" w:rsidRDefault="00B97D27">
      <w:pPr>
        <w:spacing w:after="80" w:line="288" w:lineRule="auto"/>
        <w:rPr>
          <w:rFonts w:ascii="Times New Roman" w:hAnsi="Times New Roman" w:cs="Times New Roman"/>
        </w:rPr>
      </w:pPr>
      <w:r w:rsidRPr="00B97D27">
        <w:rPr>
          <w:rFonts w:ascii="Times New Roman" w:hAnsi="Times New Roman" w:cs="Times New Roman"/>
        </w:rPr>
        <w:t>5. Investment &amp; Funding</w:t>
      </w:r>
    </w:p>
    <w:p w:rsidR="00CD2162" w:rsidRPr="00B97D27" w:rsidRDefault="00B97D27">
      <w:pPr>
        <w:spacing w:after="80" w:line="288" w:lineRule="auto"/>
        <w:rPr>
          <w:rFonts w:ascii="Times New Roman" w:hAnsi="Times New Roman" w:cs="Times New Roman"/>
        </w:rPr>
      </w:pPr>
      <w:r w:rsidRPr="00B97D27">
        <w:rPr>
          <w:rFonts w:ascii="Times New Roman" w:hAnsi="Times New Roman" w:cs="Times New Roman"/>
        </w:rPr>
        <w:t>6. Assumptions and Key Modelling Decisions</w:t>
      </w:r>
    </w:p>
    <w:p w:rsidR="00CD2162" w:rsidRPr="00B97D27" w:rsidRDefault="00B97D27">
      <w:pPr>
        <w:spacing w:after="80" w:line="288" w:lineRule="auto"/>
        <w:rPr>
          <w:rFonts w:ascii="Times New Roman" w:hAnsi="Times New Roman" w:cs="Times New Roman"/>
        </w:rPr>
      </w:pPr>
      <w:r w:rsidRPr="00B97D27">
        <w:rPr>
          <w:rFonts w:ascii="Times New Roman" w:hAnsi="Times New Roman" w:cs="Times New Roman"/>
        </w:rPr>
        <w:t>7. Financial Forecast</w:t>
      </w:r>
    </w:p>
    <w:p w:rsidR="00CD2162" w:rsidRPr="00B97D27" w:rsidRDefault="00B97D27">
      <w:pPr>
        <w:spacing w:after="80" w:line="288" w:lineRule="auto"/>
        <w:rPr>
          <w:rFonts w:ascii="Times New Roman" w:hAnsi="Times New Roman" w:cs="Times New Roman"/>
        </w:rPr>
      </w:pPr>
      <w:r w:rsidRPr="00B97D27">
        <w:rPr>
          <w:rFonts w:ascii="Times New Roman" w:hAnsi="Times New Roman" w:cs="Times New Roman"/>
        </w:rPr>
        <w:t>8. Project Free Cash Flow &amp; Appraisal</w:t>
      </w:r>
    </w:p>
    <w:p w:rsidR="00CD2162" w:rsidRPr="00B97D27" w:rsidRDefault="00B97D27">
      <w:pPr>
        <w:spacing w:after="80" w:line="288" w:lineRule="auto"/>
        <w:rPr>
          <w:rFonts w:ascii="Times New Roman" w:hAnsi="Times New Roman" w:cs="Times New Roman"/>
        </w:rPr>
      </w:pPr>
      <w:r w:rsidRPr="00B97D27">
        <w:rPr>
          <w:rFonts w:ascii="Times New Roman" w:hAnsi="Times New Roman" w:cs="Times New Roman"/>
        </w:rPr>
        <w:t>9. Break-even Analysis</w:t>
      </w:r>
    </w:p>
    <w:p w:rsidR="00CD2162" w:rsidRPr="00B97D27" w:rsidRDefault="00B97D27">
      <w:pPr>
        <w:spacing w:after="80" w:line="288" w:lineRule="auto"/>
        <w:rPr>
          <w:rFonts w:ascii="Times New Roman" w:hAnsi="Times New Roman" w:cs="Times New Roman"/>
        </w:rPr>
      </w:pPr>
      <w:r w:rsidRPr="00B97D27">
        <w:rPr>
          <w:rFonts w:ascii="Times New Roman" w:hAnsi="Times New Roman" w:cs="Times New Roman"/>
        </w:rPr>
        <w:t>10. Scenario &amp; Sensitivity Analysis</w:t>
      </w:r>
    </w:p>
    <w:p w:rsidR="00CD2162" w:rsidRPr="00B97D27" w:rsidRDefault="00B97D27">
      <w:pPr>
        <w:spacing w:after="80" w:line="288" w:lineRule="auto"/>
        <w:rPr>
          <w:rFonts w:ascii="Times New Roman" w:hAnsi="Times New Roman" w:cs="Times New Roman"/>
        </w:rPr>
      </w:pPr>
      <w:r w:rsidRPr="00B97D27">
        <w:rPr>
          <w:rFonts w:ascii="Times New Roman" w:hAnsi="Times New Roman" w:cs="Times New Roman"/>
        </w:rPr>
        <w:t>11. Investment Recommendation</w:t>
      </w:r>
    </w:p>
    <w:p w:rsidR="00CD2162" w:rsidRPr="00B97D27" w:rsidRDefault="00B97D27">
      <w:pPr>
        <w:spacing w:after="80" w:line="288" w:lineRule="auto"/>
        <w:rPr>
          <w:rFonts w:ascii="Times New Roman" w:hAnsi="Times New Roman" w:cs="Times New Roman"/>
        </w:rPr>
      </w:pPr>
      <w:r w:rsidRPr="00B97D27">
        <w:rPr>
          <w:rFonts w:ascii="Times New Roman" w:hAnsi="Times New Roman" w:cs="Times New Roman"/>
        </w:rPr>
        <w:t>12. Risks &amp; Limitations</w:t>
      </w:r>
    </w:p>
    <w:p w:rsidR="00CD2162" w:rsidRPr="00B97D27" w:rsidRDefault="00B97D27">
      <w:pPr>
        <w:spacing w:after="80" w:line="288" w:lineRule="auto"/>
        <w:rPr>
          <w:rFonts w:ascii="Times New Roman" w:hAnsi="Times New Roman" w:cs="Times New Roman"/>
        </w:rPr>
      </w:pPr>
      <w:r w:rsidRPr="00B97D27">
        <w:rPr>
          <w:rFonts w:ascii="Times New Roman" w:hAnsi="Times New Roman" w:cs="Times New Roman"/>
        </w:rPr>
        <w:t>13. References</w:t>
      </w:r>
    </w:p>
    <w:p w:rsidR="00CD2162" w:rsidRPr="00B97D27" w:rsidRDefault="00B97D27">
      <w:pPr>
        <w:spacing w:after="80" w:line="288" w:lineRule="auto"/>
        <w:rPr>
          <w:rFonts w:ascii="Times New Roman" w:hAnsi="Times New Roman" w:cs="Times New Roman"/>
        </w:rPr>
      </w:pPr>
      <w:r w:rsidRPr="00B97D27">
        <w:rPr>
          <w:rFonts w:ascii="Times New Roman" w:hAnsi="Times New Roman" w:cs="Times New Roman"/>
        </w:rPr>
        <w:t>14. Appendix</w:t>
      </w:r>
    </w:p>
    <w:p w:rsidR="00CD2162" w:rsidRPr="00335855" w:rsidRDefault="00335855">
      <w:pPr>
        <w:spacing w:after="120" w:line="288" w:lineRule="auto"/>
        <w:jc w:val="both"/>
        <w:rPr>
          <w:rFonts w:ascii="Times New Roman" w:hAnsi="Times New Roman" w:cs="Times New Roman"/>
        </w:rPr>
      </w:pPr>
      <w:r>
        <w:rPr>
          <w:rFonts w:ascii="Times New Roman" w:hAnsi="Times New Roman" w:cs="Times New Roman"/>
          <w:iCs/>
          <w:sz w:val="19"/>
          <w:szCs w:val="19"/>
        </w:rPr>
        <w:t>(</w:t>
      </w:r>
      <w:r w:rsidR="00B97D27" w:rsidRPr="00335855">
        <w:rPr>
          <w:rFonts w:ascii="Times New Roman" w:hAnsi="Times New Roman" w:cs="Times New Roman"/>
          <w:iCs/>
          <w:sz w:val="19"/>
          <w:szCs w:val="19"/>
        </w:rPr>
        <w:t>Every table in this report is taken directly from the companion Excel workbook. The sheet it comes from is named under each table, so any number can be traced to its formula</w:t>
      </w:r>
      <w:r>
        <w:rPr>
          <w:rFonts w:ascii="Times New Roman" w:hAnsi="Times New Roman" w:cs="Times New Roman"/>
          <w:iCs/>
          <w:sz w:val="19"/>
          <w:szCs w:val="19"/>
        </w:rPr>
        <w:t>)</w:t>
      </w:r>
      <w:r w:rsidR="00B97D27" w:rsidRPr="00335855">
        <w:rPr>
          <w:rFonts w:ascii="Times New Roman" w:hAnsi="Times New Roman" w:cs="Times New Roman"/>
          <w:iCs/>
          <w:sz w:val="19"/>
          <w:szCs w:val="19"/>
        </w:rPr>
        <w:t>.</w:t>
      </w:r>
    </w:p>
    <w:p w:rsidR="00CD2162" w:rsidRPr="00B97D27" w:rsidRDefault="00B97D27">
      <w:pPr>
        <w:rPr>
          <w:rFonts w:ascii="Times New Roman" w:hAnsi="Times New Roman" w:cs="Times New Roman"/>
        </w:rPr>
      </w:pPr>
      <w:r w:rsidRPr="00B97D27">
        <w:rPr>
          <w:rFonts w:ascii="Times New Roman" w:hAnsi="Times New Roman" w:cs="Times New Roman"/>
        </w:rPr>
        <w:br w:type="page"/>
      </w:r>
    </w:p>
    <w:p w:rsidR="00CD2162" w:rsidRPr="00B97D27" w:rsidRDefault="00B97D27">
      <w:pPr>
        <w:pStyle w:val="Heading1"/>
        <w:keepNext/>
        <w:pBdr>
          <w:bottom w:val="single" w:sz="8" w:space="4" w:color="1F3864"/>
        </w:pBdr>
        <w:spacing w:before="240" w:after="160"/>
        <w:rPr>
          <w:rFonts w:ascii="Times New Roman" w:hAnsi="Times New Roman" w:cs="Times New Roman"/>
          <w:color w:val="auto"/>
        </w:rPr>
      </w:pPr>
      <w:r w:rsidRPr="00B97D27">
        <w:rPr>
          <w:rFonts w:ascii="Times New Roman" w:hAnsi="Times New Roman" w:cs="Times New Roman"/>
          <w:b/>
          <w:bCs/>
          <w:color w:val="auto"/>
        </w:rPr>
        <w:lastRenderedPageBreak/>
        <w:t>1. Executive Summary</w:t>
      </w:r>
    </w:p>
    <w:p w:rsidR="00CD2162" w:rsidRPr="00B97D27" w:rsidRDefault="00B97D27">
      <w:pPr>
        <w:spacing w:after="120" w:line="288" w:lineRule="auto"/>
        <w:jc w:val="both"/>
        <w:rPr>
          <w:rFonts w:ascii="Times New Roman" w:hAnsi="Times New Roman" w:cs="Times New Roman"/>
        </w:rPr>
      </w:pPr>
      <w:r w:rsidRPr="00B97D27">
        <w:rPr>
          <w:rFonts w:ascii="Times New Roman" w:hAnsi="Times New Roman" w:cs="Times New Roman"/>
        </w:rPr>
        <w:t xml:space="preserve">This report evaluates whether a </w:t>
      </w:r>
      <w:r w:rsidRPr="00B97D27">
        <w:rPr>
          <w:rFonts w:ascii="Times New Roman" w:hAnsi="Times New Roman" w:cs="Times New Roman"/>
          <w:b/>
          <w:bCs/>
        </w:rPr>
        <w:t>30-seat café near Lovely Professional University (LPU)</w:t>
      </w:r>
      <w:r w:rsidRPr="00B97D27">
        <w:rPr>
          <w:rFonts w:ascii="Times New Roman" w:hAnsi="Times New Roman" w:cs="Times New Roman"/>
        </w:rPr>
        <w:t xml:space="preserve"> in Phagwara is a sound use of </w:t>
      </w:r>
      <w:r w:rsidRPr="00B97D27">
        <w:rPr>
          <w:rFonts w:ascii="Times New Roman" w:hAnsi="Times New Roman" w:cs="Times New Roman"/>
          <w:b/>
          <w:bCs/>
        </w:rPr>
        <w:t>₹29.30 lakh</w:t>
      </w:r>
      <w:r w:rsidRPr="00B97D27">
        <w:rPr>
          <w:rFonts w:ascii="Times New Roman" w:hAnsi="Times New Roman" w:cs="Times New Roman"/>
        </w:rPr>
        <w:t xml:space="preserve"> of capital. The café would sell beverages, snacks and meal combos to LPU's student and staff community, which is more than 30,000 students on a campus along the GT Road corridor. The decision to make is whether to Invest, Invest with Conditions, or Not Invest.</w:t>
      </w:r>
    </w:p>
    <w:p w:rsidR="00CD2162" w:rsidRPr="00B97D27" w:rsidRDefault="00B97D27">
      <w:pPr>
        <w:spacing w:after="120" w:line="288" w:lineRule="auto"/>
        <w:jc w:val="both"/>
        <w:rPr>
          <w:rFonts w:ascii="Times New Roman" w:hAnsi="Times New Roman" w:cs="Times New Roman"/>
        </w:rPr>
      </w:pPr>
      <w:r w:rsidRPr="00B97D27">
        <w:rPr>
          <w:rFonts w:ascii="Times New Roman" w:hAnsi="Times New Roman" w:cs="Times New Roman"/>
        </w:rPr>
        <w:t xml:space="preserve">The model forecasts </w:t>
      </w:r>
      <w:r w:rsidRPr="00B97D27">
        <w:rPr>
          <w:rFonts w:ascii="Times New Roman" w:hAnsi="Times New Roman" w:cs="Times New Roman"/>
          <w:b/>
          <w:bCs/>
        </w:rPr>
        <w:t>₹39.60 lakh of revenue in Year 1, rising to ₹77.01 lakh in Year 5</w:t>
      </w:r>
      <w:r w:rsidRPr="00B97D27">
        <w:rPr>
          <w:rFonts w:ascii="Times New Roman" w:hAnsi="Times New Roman" w:cs="Times New Roman"/>
        </w:rPr>
        <w:t xml:space="preserve">, as seat usage grows from 2.5 to 4.0 customer groups per seat per day. The café is roughly break-even at EBITDA level in its first year (₹0.72 lakh), turns profitable at the operating level in Year 2, and reaches ₹18.30 lakh EBITDA by Year 5. Measured as a project, free of financing effects, it delivers an </w:t>
      </w:r>
      <w:r w:rsidRPr="00B97D27">
        <w:rPr>
          <w:rFonts w:ascii="Times New Roman" w:hAnsi="Times New Roman" w:cs="Times New Roman"/>
          <w:b/>
          <w:bCs/>
        </w:rPr>
        <w:t>NPV of ₹2.03 lakh, an IRR of 15.3% against a required return of 13.3%, and a payback of 4.1 years</w:t>
      </w:r>
      <w:r w:rsidRPr="00B97D27">
        <w:rPr>
          <w:rFonts w:ascii="Times New Roman" w:hAnsi="Times New Roman" w:cs="Times New Roman"/>
        </w:rPr>
        <w:t>.</w:t>
      </w:r>
    </w:p>
    <w:p w:rsidR="00CD2162" w:rsidRPr="00B97D27" w:rsidRDefault="00B97D27">
      <w:pPr>
        <w:pStyle w:val="Heading2"/>
        <w:keepNext/>
        <w:spacing w:before="200" w:after="100"/>
        <w:rPr>
          <w:rFonts w:ascii="Times New Roman" w:hAnsi="Times New Roman" w:cs="Times New Roman"/>
          <w:color w:val="auto"/>
        </w:rPr>
      </w:pPr>
      <w:r w:rsidRPr="00B97D27">
        <w:rPr>
          <w:rFonts w:ascii="Times New Roman" w:hAnsi="Times New Roman" w:cs="Times New Roman"/>
          <w:b/>
          <w:bCs/>
          <w:color w:val="auto"/>
          <w:sz w:val="24"/>
          <w:szCs w:val="24"/>
        </w:rPr>
        <w:t>Key results</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700"/>
        <w:gridCol w:w="2500"/>
        <w:gridCol w:w="3826"/>
      </w:tblGrid>
      <w:tr w:rsidR="00CD2162" w:rsidRPr="00B97D27">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7"/>
                <w:szCs w:val="17"/>
              </w:rPr>
              <w:t>Metric</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7"/>
                <w:szCs w:val="17"/>
              </w:rPr>
              <w:t>Result</w:t>
            </w:r>
          </w:p>
        </w:tc>
        <w:tc>
          <w:tcPr>
            <w:tcW w:w="38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7"/>
                <w:szCs w:val="17"/>
              </w:rPr>
              <w:t>What it tells us</w:t>
            </w:r>
          </w:p>
        </w:tc>
      </w:tr>
      <w:tr w:rsidR="00CD2162" w:rsidRPr="00B97D27">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Initial investment (Year 0)</w:t>
            </w:r>
          </w:p>
        </w:tc>
        <w:tc>
          <w:tcPr>
            <w:tcW w:w="2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₹29.30 lakh</w:t>
            </w:r>
          </w:p>
        </w:tc>
        <w:tc>
          <w:tcPr>
            <w:tcW w:w="38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Equipment, fit-out, licences, deposit and opening cash</w:t>
            </w:r>
          </w:p>
        </w:tc>
      </w:tr>
      <w:tr w:rsidR="00CD2162" w:rsidRPr="00B97D2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Funding mix</w:t>
            </w:r>
          </w:p>
        </w:tc>
        <w:tc>
          <w:tcPr>
            <w:tcW w:w="25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50% debt / 50% equity</w:t>
            </w:r>
          </w:p>
        </w:tc>
        <w:tc>
          <w:tcPr>
            <w:tcW w:w="38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₹14.65 lakh each</w:t>
            </w:r>
          </w:p>
        </w:tc>
      </w:tr>
      <w:tr w:rsidR="00CD2162" w:rsidRPr="00B97D27">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Year-1 / Year-5 revenue</w:t>
            </w:r>
          </w:p>
        </w:tc>
        <w:tc>
          <w:tcPr>
            <w:tcW w:w="2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₹39.60 lakh / ₹77.01 lakh</w:t>
            </w:r>
          </w:p>
        </w:tc>
        <w:tc>
          <w:tcPr>
            <w:tcW w:w="38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Growth comes from more customers and 5% price rises</w:t>
            </w:r>
          </w:p>
        </w:tc>
      </w:tr>
      <w:tr w:rsidR="00CD2162" w:rsidRPr="00B97D2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Year-5 EBITDA / net profit</w:t>
            </w:r>
          </w:p>
        </w:tc>
        <w:tc>
          <w:tcPr>
            <w:tcW w:w="25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₹18.30 lakh / ₹11.13 lakh</w:t>
            </w:r>
          </w:p>
        </w:tc>
        <w:tc>
          <w:tcPr>
            <w:tcW w:w="38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Healthy operating margin once fixed costs are covered</w:t>
            </w:r>
          </w:p>
        </w:tc>
      </w:tr>
      <w:tr w:rsidR="00CD2162" w:rsidRPr="00B97D2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NPV at 13.3%</w:t>
            </w:r>
          </w:p>
        </w:tc>
        <w:tc>
          <w:tcPr>
            <w:tcW w:w="25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₹2.03 lakh</w:t>
            </w:r>
          </w:p>
        </w:tc>
        <w:tc>
          <w:tcPr>
            <w:tcW w:w="3826"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Small positive value created</w:t>
            </w:r>
          </w:p>
        </w:tc>
      </w:tr>
      <w:tr w:rsidR="00CD2162" w:rsidRPr="00B97D2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IRR</w:t>
            </w:r>
          </w:p>
        </w:tc>
        <w:tc>
          <w:tcPr>
            <w:tcW w:w="25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15.3%</w:t>
            </w:r>
          </w:p>
        </w:tc>
        <w:tc>
          <w:tcPr>
            <w:tcW w:w="3826"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2.0 percentage points above the required return</w:t>
            </w:r>
          </w:p>
        </w:tc>
      </w:tr>
      <w:tr w:rsidR="00CD2162" w:rsidRPr="00B97D2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Payback</w:t>
            </w:r>
          </w:p>
        </w:tc>
        <w:tc>
          <w:tcPr>
            <w:tcW w:w="25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4.1 years</w:t>
            </w:r>
          </w:p>
        </w:tc>
        <w:tc>
          <w:tcPr>
            <w:tcW w:w="3826"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Most cash comes back late in the five-year window</w:t>
            </w:r>
          </w:p>
        </w:tc>
      </w:tr>
      <w:tr w:rsidR="00CD2162" w:rsidRPr="00B97D2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Break-even (Year 1)</w:t>
            </w:r>
          </w:p>
        </w:tc>
        <w:tc>
          <w:tcPr>
            <w:tcW w:w="25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73 customers/day</w:t>
            </w:r>
          </w:p>
        </w:tc>
        <w:tc>
          <w:tcPr>
            <w:tcW w:w="38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Projected 75/day, so the cushion is only 2.8%</w:t>
            </w:r>
          </w:p>
        </w:tc>
      </w:tr>
      <w:tr w:rsidR="00CD2162" w:rsidRPr="00B97D27">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Pessimistic-case NPV</w:t>
            </w:r>
          </w:p>
        </w:tc>
        <w:tc>
          <w:tcPr>
            <w:tcW w:w="2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−₹48.92 lakh</w:t>
            </w:r>
          </w:p>
        </w:tc>
        <w:tc>
          <w:tcPr>
            <w:tcW w:w="38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Volume −20%, price −10%, costs +10%</w:t>
            </w:r>
          </w:p>
        </w:tc>
      </w:tr>
      <w:tr w:rsidR="00CD2162" w:rsidRPr="00B97D2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7"/>
                <w:szCs w:val="17"/>
              </w:rPr>
              <w:t>Most sensitive variable</w:t>
            </w:r>
          </w:p>
        </w:tc>
        <w:tc>
          <w:tcPr>
            <w:tcW w:w="25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7"/>
                <w:szCs w:val="17"/>
              </w:rPr>
              <w:t>Selling price</w:t>
            </w:r>
          </w:p>
        </w:tc>
        <w:tc>
          <w:tcPr>
            <w:tcW w:w="38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7"/>
                <w:szCs w:val="17"/>
              </w:rPr>
              <w:t>A small price shortfall wipes out the NPV</w:t>
            </w:r>
          </w:p>
        </w:tc>
      </w:tr>
    </w:tbl>
    <w:p w:rsidR="00CD2162" w:rsidRPr="00B97D27" w:rsidRDefault="00B97D27">
      <w:pPr>
        <w:spacing w:before="40" w:after="160"/>
        <w:rPr>
          <w:rFonts w:ascii="Times New Roman" w:hAnsi="Times New Roman" w:cs="Times New Roman"/>
        </w:rPr>
      </w:pPr>
      <w:r w:rsidRPr="00B97D27">
        <w:rPr>
          <w:rFonts w:ascii="Times New Roman" w:hAnsi="Times New Roman" w:cs="Times New Roman"/>
          <w:i/>
          <w:iCs/>
          <w:sz w:val="16"/>
          <w:szCs w:val="16"/>
        </w:rPr>
        <w:t>Source: sheets 16_Appraisal, 17_Break_Even, 18_Scenarios, 19_Sensitivity and 20_Dashboard.</w:t>
      </w:r>
    </w:p>
    <w:p w:rsidR="00CD2162" w:rsidRPr="00B97D27" w:rsidRDefault="00B97D27">
      <w:pPr>
        <w:pStyle w:val="Heading2"/>
        <w:keepNext/>
        <w:spacing w:before="200" w:after="100"/>
        <w:rPr>
          <w:rFonts w:ascii="Times New Roman" w:hAnsi="Times New Roman" w:cs="Times New Roman"/>
          <w:color w:val="auto"/>
        </w:rPr>
      </w:pPr>
      <w:r w:rsidRPr="00B97D27">
        <w:rPr>
          <w:rFonts w:ascii="Times New Roman" w:hAnsi="Times New Roman" w:cs="Times New Roman"/>
          <w:b/>
          <w:bCs/>
          <w:color w:val="auto"/>
          <w:sz w:val="24"/>
          <w:szCs w:val="24"/>
        </w:rPr>
        <w:t>Recommendation: Invest with Conditions</w:t>
      </w:r>
    </w:p>
    <w:p w:rsidR="00CD2162" w:rsidRPr="00B97D27" w:rsidRDefault="00B97D27">
      <w:pPr>
        <w:spacing w:after="120" w:line="288" w:lineRule="auto"/>
        <w:jc w:val="both"/>
        <w:rPr>
          <w:rFonts w:ascii="Times New Roman" w:hAnsi="Times New Roman" w:cs="Times New Roman"/>
        </w:rPr>
      </w:pPr>
      <w:r w:rsidRPr="00B97D27">
        <w:rPr>
          <w:rFonts w:ascii="Times New Roman" w:hAnsi="Times New Roman" w:cs="Times New Roman"/>
        </w:rPr>
        <w:t xml:space="preserve">We recommend proceeding </w:t>
      </w:r>
      <w:r w:rsidRPr="00B97D27">
        <w:rPr>
          <w:rFonts w:ascii="Times New Roman" w:hAnsi="Times New Roman" w:cs="Times New Roman"/>
          <w:b/>
          <w:bCs/>
        </w:rPr>
        <w:t>only if specific conditions are met</w:t>
      </w:r>
      <w:r w:rsidRPr="00B97D27">
        <w:rPr>
          <w:rFonts w:ascii="Times New Roman" w:hAnsi="Times New Roman" w:cs="Times New Roman"/>
        </w:rPr>
        <w:t>. The base case clears the hurdle, but narrowly: the NPV is positive by just ₹2.03 lakh on a ₹29.30 lakh outlay (a profitability index of 1.07). The model is also fragile: a price shortfall of only about 1.2%, or a volume shortfall of about 2.0%, would push the NPV below zero. In the pessimistic scenario the café loses money for five years. A project with a thin base case and a deep downside should not receive an unconditional "Invest". The conditions in Section 11 convert the main uncertainties (rent, equipment cost, average bill and early footfall) into things we confirm before and shortly after committing money.</w:t>
      </w:r>
    </w:p>
    <w:p w:rsidR="00CD2162" w:rsidRPr="00B97D27" w:rsidRDefault="00B97D27">
      <w:pPr>
        <w:pStyle w:val="Heading1"/>
        <w:keepNext/>
        <w:pBdr>
          <w:bottom w:val="single" w:sz="8" w:space="4" w:color="1F3864"/>
        </w:pBdr>
        <w:spacing w:before="240" w:after="160"/>
        <w:rPr>
          <w:rFonts w:ascii="Times New Roman" w:hAnsi="Times New Roman" w:cs="Times New Roman"/>
          <w:color w:val="auto"/>
        </w:rPr>
      </w:pPr>
      <w:r w:rsidRPr="00B97D27">
        <w:rPr>
          <w:rFonts w:ascii="Times New Roman" w:hAnsi="Times New Roman" w:cs="Times New Roman"/>
          <w:b/>
          <w:bCs/>
          <w:color w:val="auto"/>
        </w:rPr>
        <w:t>2. Business Opportunity</w:t>
      </w:r>
    </w:p>
    <w:p w:rsidR="00CD2162" w:rsidRPr="00B97D27" w:rsidRDefault="00B97D27">
      <w:pPr>
        <w:pStyle w:val="Heading2"/>
        <w:keepNext/>
        <w:spacing w:before="200" w:after="100"/>
        <w:rPr>
          <w:rFonts w:ascii="Times New Roman" w:hAnsi="Times New Roman" w:cs="Times New Roman"/>
          <w:color w:val="auto"/>
        </w:rPr>
      </w:pPr>
      <w:r w:rsidRPr="00B97D27">
        <w:rPr>
          <w:rFonts w:ascii="Times New Roman" w:hAnsi="Times New Roman" w:cs="Times New Roman"/>
          <w:b/>
          <w:bCs/>
          <w:color w:val="auto"/>
          <w:sz w:val="24"/>
          <w:szCs w:val="24"/>
        </w:rPr>
        <w:t>2.1 The problem</w:t>
      </w:r>
    </w:p>
    <w:p w:rsidR="00CD2162" w:rsidRPr="00B97D27" w:rsidRDefault="00B97D27">
      <w:pPr>
        <w:spacing w:after="120" w:line="288" w:lineRule="auto"/>
        <w:jc w:val="both"/>
        <w:rPr>
          <w:rFonts w:ascii="Times New Roman" w:hAnsi="Times New Roman" w:cs="Times New Roman"/>
        </w:rPr>
      </w:pPr>
      <w:r w:rsidRPr="00B97D27">
        <w:rPr>
          <w:rFonts w:ascii="Times New Roman" w:hAnsi="Times New Roman" w:cs="Times New Roman"/>
        </w:rPr>
        <w:t>LPU is one of India's largest single-campus universities, with more than 30,000 students plus faculty and staff on a 600-acre campus on the Jalandhar–Delhi GT Road (Source SRC-07). Students are a naturally concentrated, repeat customer base: they eat out frequently, are price-sensitive, and want places to sit, meet and study between classes. At peak hours, seating near the campus gate is limited, which creates space for another affordable, comfortable café.</w:t>
      </w:r>
    </w:p>
    <w:p w:rsidR="00CD2162" w:rsidRPr="00B97D27" w:rsidRDefault="00B97D27">
      <w:pPr>
        <w:pStyle w:val="Heading2"/>
        <w:keepNext/>
        <w:spacing w:before="200" w:after="100"/>
        <w:rPr>
          <w:rFonts w:ascii="Times New Roman" w:hAnsi="Times New Roman" w:cs="Times New Roman"/>
          <w:color w:val="auto"/>
        </w:rPr>
      </w:pPr>
      <w:r w:rsidRPr="00B97D27">
        <w:rPr>
          <w:rFonts w:ascii="Times New Roman" w:hAnsi="Times New Roman" w:cs="Times New Roman"/>
          <w:b/>
          <w:bCs/>
          <w:color w:val="auto"/>
          <w:sz w:val="24"/>
          <w:szCs w:val="24"/>
        </w:rPr>
        <w:lastRenderedPageBreak/>
        <w:t>2.2 The solution</w:t>
      </w:r>
    </w:p>
    <w:p w:rsidR="00CD2162" w:rsidRPr="00B97D27" w:rsidRDefault="00B97D27">
      <w:pPr>
        <w:spacing w:after="120" w:line="288" w:lineRule="auto"/>
        <w:jc w:val="both"/>
        <w:rPr>
          <w:rFonts w:ascii="Times New Roman" w:hAnsi="Times New Roman" w:cs="Times New Roman"/>
        </w:rPr>
      </w:pPr>
      <w:r w:rsidRPr="00B97D27">
        <w:rPr>
          <w:rFonts w:ascii="Times New Roman" w:hAnsi="Times New Roman" w:cs="Times New Roman"/>
        </w:rPr>
        <w:t>Campus Brew Café is a 30-seat café of about 750 sq ft offering hot and cold beverages, snacks and meal combos at student-friendly prices (average bill about ₹160 before GST). It would run with five staff: a cook, two service staff, a helper and a manager.</w:t>
      </w:r>
    </w:p>
    <w:p w:rsidR="00CD2162" w:rsidRPr="00B97D27" w:rsidRDefault="00B97D27">
      <w:pPr>
        <w:pStyle w:val="Heading2"/>
        <w:keepNext/>
        <w:spacing w:before="200" w:after="100"/>
        <w:rPr>
          <w:rFonts w:ascii="Times New Roman" w:hAnsi="Times New Roman" w:cs="Times New Roman"/>
          <w:color w:val="auto"/>
        </w:rPr>
      </w:pPr>
      <w:r w:rsidRPr="00B97D27">
        <w:rPr>
          <w:rFonts w:ascii="Times New Roman" w:hAnsi="Times New Roman" w:cs="Times New Roman"/>
          <w:b/>
          <w:bCs/>
          <w:color w:val="auto"/>
          <w:sz w:val="24"/>
          <w:szCs w:val="24"/>
        </w:rPr>
        <w:t>2.3 Customer, geography and business model</w:t>
      </w:r>
    </w:p>
    <w:p w:rsidR="00CD2162" w:rsidRPr="00B97D27" w:rsidRDefault="00B97D27">
      <w:pPr>
        <w:pStyle w:val="ListParagraph"/>
        <w:numPr>
          <w:ilvl w:val="0"/>
          <w:numId w:val="2"/>
        </w:numPr>
        <w:spacing w:after="70" w:line="276" w:lineRule="auto"/>
        <w:rPr>
          <w:rFonts w:ascii="Times New Roman" w:hAnsi="Times New Roman" w:cs="Times New Roman"/>
        </w:rPr>
      </w:pPr>
      <w:r w:rsidRPr="00B97D27">
        <w:rPr>
          <w:rFonts w:ascii="Times New Roman" w:hAnsi="Times New Roman" w:cs="Times New Roman"/>
          <w:b/>
          <w:bCs/>
        </w:rPr>
        <w:t>Target customers:</w:t>
      </w:r>
      <w:r w:rsidRPr="00B97D27">
        <w:rPr>
          <w:rFonts w:ascii="Times New Roman" w:hAnsi="Times New Roman" w:cs="Times New Roman"/>
        </w:rPr>
        <w:t xml:space="preserve"> LPU students, faculty and staff, plus some highway travellers on the GT Road (NH-44) corridor.</w:t>
      </w:r>
    </w:p>
    <w:p w:rsidR="00CD2162" w:rsidRPr="00B97D27" w:rsidRDefault="00B97D27">
      <w:pPr>
        <w:pStyle w:val="ListParagraph"/>
        <w:numPr>
          <w:ilvl w:val="0"/>
          <w:numId w:val="2"/>
        </w:numPr>
        <w:spacing w:after="70" w:line="276" w:lineRule="auto"/>
        <w:rPr>
          <w:rFonts w:ascii="Times New Roman" w:hAnsi="Times New Roman" w:cs="Times New Roman"/>
        </w:rPr>
      </w:pPr>
      <w:r w:rsidRPr="00B97D27">
        <w:rPr>
          <w:rFonts w:ascii="Times New Roman" w:hAnsi="Times New Roman" w:cs="Times New Roman"/>
          <w:b/>
          <w:bCs/>
        </w:rPr>
        <w:t>Geography:</w:t>
      </w:r>
      <w:r w:rsidRPr="00B97D27">
        <w:rPr>
          <w:rFonts w:ascii="Times New Roman" w:hAnsi="Times New Roman" w:cs="Times New Roman"/>
        </w:rPr>
        <w:t xml:space="preserve"> near LPU, Chaheru, Phagwara, Punjab.</w:t>
      </w:r>
    </w:p>
    <w:p w:rsidR="00CD2162" w:rsidRPr="00B97D27" w:rsidRDefault="00B97D27">
      <w:pPr>
        <w:pStyle w:val="ListParagraph"/>
        <w:numPr>
          <w:ilvl w:val="0"/>
          <w:numId w:val="2"/>
        </w:numPr>
        <w:spacing w:after="70" w:line="276" w:lineRule="auto"/>
        <w:rPr>
          <w:rFonts w:ascii="Times New Roman" w:hAnsi="Times New Roman" w:cs="Times New Roman"/>
        </w:rPr>
      </w:pPr>
      <w:r w:rsidRPr="00B97D27">
        <w:rPr>
          <w:rFonts w:ascii="Times New Roman" w:hAnsi="Times New Roman" w:cs="Times New Roman"/>
          <w:b/>
          <w:bCs/>
        </w:rPr>
        <w:t>Business model in one sentence:</w:t>
      </w:r>
      <w:r w:rsidRPr="00B97D27">
        <w:rPr>
          <w:rFonts w:ascii="Times New Roman" w:hAnsi="Times New Roman" w:cs="Times New Roman"/>
        </w:rPr>
        <w:t xml:space="preserve"> the project invests about ₹29.3 lakh to provide food and beverages to students and staff in the LPU catchment, earning revenue through per-customer bills.</w:t>
      </w:r>
    </w:p>
    <w:p w:rsidR="00CD2162" w:rsidRPr="00B97D27" w:rsidRDefault="00B97D27">
      <w:pPr>
        <w:pStyle w:val="ListParagraph"/>
        <w:numPr>
          <w:ilvl w:val="0"/>
          <w:numId w:val="2"/>
        </w:numPr>
        <w:spacing w:after="70" w:line="276" w:lineRule="auto"/>
        <w:rPr>
          <w:rFonts w:ascii="Times New Roman" w:hAnsi="Times New Roman" w:cs="Times New Roman"/>
        </w:rPr>
      </w:pPr>
      <w:r w:rsidRPr="00B97D27">
        <w:rPr>
          <w:rFonts w:ascii="Times New Roman" w:hAnsi="Times New Roman" w:cs="Times New Roman"/>
          <w:b/>
          <w:bCs/>
        </w:rPr>
        <w:t>Unit of economics:</w:t>
      </w:r>
      <w:r w:rsidRPr="00B97D27">
        <w:rPr>
          <w:rFonts w:ascii="Times New Roman" w:hAnsi="Times New Roman" w:cs="Times New Roman"/>
        </w:rPr>
        <w:t xml:space="preserve"> one paid customer visit. Revenue = seats × seat turns per day × days open × average bill.</w:t>
      </w:r>
    </w:p>
    <w:p w:rsidR="00CD2162" w:rsidRPr="00B97D27" w:rsidRDefault="00B97D27">
      <w:pPr>
        <w:pStyle w:val="Heading2"/>
        <w:keepNext/>
        <w:spacing w:before="200" w:after="100"/>
        <w:rPr>
          <w:rFonts w:ascii="Times New Roman" w:hAnsi="Times New Roman" w:cs="Times New Roman"/>
          <w:color w:val="auto"/>
        </w:rPr>
      </w:pPr>
      <w:r w:rsidRPr="00B97D27">
        <w:rPr>
          <w:rFonts w:ascii="Times New Roman" w:hAnsi="Times New Roman" w:cs="Times New Roman"/>
          <w:b/>
          <w:bCs/>
          <w:color w:val="auto"/>
          <w:sz w:val="24"/>
          <w:szCs w:val="24"/>
        </w:rPr>
        <w:t>2.4 Investment rationale and why we chose this project</w:t>
      </w:r>
    </w:p>
    <w:p w:rsidR="00CD2162" w:rsidRPr="00B97D27" w:rsidRDefault="00B97D27">
      <w:pPr>
        <w:spacing w:after="120" w:line="288" w:lineRule="auto"/>
        <w:jc w:val="both"/>
        <w:rPr>
          <w:rFonts w:ascii="Times New Roman" w:hAnsi="Times New Roman" w:cs="Times New Roman"/>
        </w:rPr>
      </w:pPr>
      <w:r w:rsidRPr="00B97D27">
        <w:rPr>
          <w:rFonts w:ascii="Times New Roman" w:hAnsi="Times New Roman" w:cs="Times New Roman"/>
        </w:rPr>
        <w:t>We considered a highway EV fast-charging hub as an alternative. It has attractive growth stories, but its economics depend on charger technology, grid connection rules, subsidy eligibility and utilisation that are hard to verify quickly, and the vocabulary distracts from the finance. A café has a simple, observable revenue driver (customers), an easily understood cost structure, and a customer base we can reason about. That makes it a better vehicle for a transparent, defendable model, which is the purpose of this assignment. The investment question remains real: a single outlet needs about ₹29 lakh and has several uncertain inputs, so whether it creates value is genuinely open.</w:t>
      </w:r>
    </w:p>
    <w:p w:rsidR="00CD2162" w:rsidRPr="00B97D27" w:rsidRDefault="00B97D27">
      <w:pPr>
        <w:pStyle w:val="Heading1"/>
        <w:keepNext/>
        <w:pBdr>
          <w:bottom w:val="single" w:sz="8" w:space="4" w:color="1F3864"/>
        </w:pBdr>
        <w:spacing w:before="240" w:after="160"/>
        <w:rPr>
          <w:rFonts w:ascii="Times New Roman" w:hAnsi="Times New Roman" w:cs="Times New Roman"/>
          <w:color w:val="auto"/>
        </w:rPr>
      </w:pPr>
      <w:r w:rsidRPr="00B97D27">
        <w:rPr>
          <w:rFonts w:ascii="Times New Roman" w:hAnsi="Times New Roman" w:cs="Times New Roman"/>
          <w:b/>
          <w:bCs/>
          <w:color w:val="auto"/>
        </w:rPr>
        <w:t>3. Market &amp; Evidence</w:t>
      </w:r>
    </w:p>
    <w:p w:rsidR="00CD2162" w:rsidRPr="00B97D27" w:rsidRDefault="00B97D27">
      <w:pPr>
        <w:pStyle w:val="Heading2"/>
        <w:keepNext/>
        <w:spacing w:before="200" w:after="100"/>
        <w:rPr>
          <w:rFonts w:ascii="Times New Roman" w:hAnsi="Times New Roman" w:cs="Times New Roman"/>
          <w:color w:val="auto"/>
        </w:rPr>
      </w:pPr>
      <w:r w:rsidRPr="00B97D27">
        <w:rPr>
          <w:rFonts w:ascii="Times New Roman" w:hAnsi="Times New Roman" w:cs="Times New Roman"/>
          <w:b/>
          <w:bCs/>
          <w:color w:val="auto"/>
          <w:sz w:val="24"/>
          <w:szCs w:val="24"/>
        </w:rPr>
        <w:t>3.1 Research method</w:t>
      </w:r>
    </w:p>
    <w:p w:rsidR="00CD2162" w:rsidRPr="00B97D27" w:rsidRDefault="00B97D27">
      <w:pPr>
        <w:spacing w:after="120" w:line="288" w:lineRule="auto"/>
        <w:jc w:val="both"/>
        <w:rPr>
          <w:rFonts w:ascii="Times New Roman" w:hAnsi="Times New Roman" w:cs="Times New Roman"/>
        </w:rPr>
      </w:pPr>
      <w:r w:rsidRPr="00B97D27">
        <w:rPr>
          <w:rFonts w:ascii="Times New Roman" w:hAnsi="Times New Roman" w:cs="Times New Roman"/>
        </w:rPr>
        <w:t xml:space="preserve">Because a new café has no sales history, forecasting from past trends is impossible. We used a </w:t>
      </w:r>
      <w:r w:rsidRPr="00B97D27">
        <w:rPr>
          <w:rFonts w:ascii="Times New Roman" w:hAnsi="Times New Roman" w:cs="Times New Roman"/>
          <w:b/>
          <w:bCs/>
        </w:rPr>
        <w:t>capacity-based, driver-based approach</w:t>
      </w:r>
      <w:r w:rsidRPr="00B97D27">
        <w:rPr>
          <w:rFonts w:ascii="Times New Roman" w:hAnsi="Times New Roman" w:cs="Times New Roman"/>
        </w:rPr>
        <w:t>: the physical size of the shop sets a ceiling on customers, a utilisation assumption fills it gradually, and each cost is tied to either customers (variable) or time (fixed). External evidence was gathered for the inputs that could be checked against public sources, such as wages, electricity tariffs, interest rates and inflation. Where no reliable source could be found in the time available, we used a documented estimation method and flagged the number as an estimate.</w:t>
      </w:r>
    </w:p>
    <w:p w:rsidR="00CD2162" w:rsidRPr="00B97D27" w:rsidRDefault="00B97D27">
      <w:pPr>
        <w:pStyle w:val="Heading2"/>
        <w:keepNext/>
        <w:spacing w:before="200" w:after="100"/>
        <w:rPr>
          <w:rFonts w:ascii="Times New Roman" w:hAnsi="Times New Roman" w:cs="Times New Roman"/>
          <w:color w:val="auto"/>
        </w:rPr>
      </w:pPr>
      <w:r w:rsidRPr="00B97D27">
        <w:rPr>
          <w:rFonts w:ascii="Times New Roman" w:hAnsi="Times New Roman" w:cs="Times New Roman"/>
          <w:b/>
          <w:bCs/>
          <w:color w:val="auto"/>
          <w:sz w:val="24"/>
          <w:szCs w:val="24"/>
        </w:rPr>
        <w:t>3.2 Evidence quality: what is verified and what is estimated</w:t>
      </w:r>
    </w:p>
    <w:p w:rsidR="00CD2162" w:rsidRPr="00B97D27" w:rsidRDefault="00B97D27">
      <w:pPr>
        <w:spacing w:after="120" w:line="288" w:lineRule="auto"/>
        <w:jc w:val="both"/>
        <w:rPr>
          <w:rFonts w:ascii="Times New Roman" w:hAnsi="Times New Roman" w:cs="Times New Roman"/>
        </w:rPr>
      </w:pPr>
      <w:r w:rsidRPr="00B97D27">
        <w:rPr>
          <w:rFonts w:ascii="Times New Roman" w:hAnsi="Times New Roman" w:cs="Times New Roman"/>
        </w:rPr>
        <w:t>The table below summarises the evidence. We deliberately separate numbers we confirmed from numbers we estimated, because the strength of a conclusion depends on the strength of its inputs.</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000"/>
        <w:gridCol w:w="2900"/>
        <w:gridCol w:w="3426"/>
        <w:gridCol w:w="1700"/>
      </w:tblGrid>
      <w:tr w:rsidR="00CD2162" w:rsidRPr="00B97D27">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lastRenderedPageBreak/>
              <w:t>ID</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Evidence</w:t>
            </w:r>
          </w:p>
        </w:tc>
        <w:tc>
          <w:tcPr>
            <w:tcW w:w="34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Value used</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Status</w:t>
            </w:r>
          </w:p>
        </w:tc>
      </w:tr>
      <w:tr w:rsidR="00CD2162" w:rsidRPr="00B97D27">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SRC-01</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Punjab minimum wages (state notification, via WageIndicator)</w:t>
            </w:r>
          </w:p>
        </w:tc>
        <w:tc>
          <w:tcPr>
            <w:tcW w:w="34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Unskilled ₹518.69, semi-skilled ₹553.19, skilled ₹592.84 per day (from 1 May 2026)</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Verified</w:t>
            </w:r>
          </w:p>
        </w:tc>
      </w:tr>
      <w:tr w:rsidR="00CD2162" w:rsidRPr="00B97D2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SRC-02/03</w:t>
            </w:r>
          </w:p>
        </w:tc>
        <w:tc>
          <w:tcPr>
            <w:tcW w:w="29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PSERC tariff order (The Tribune, Babushahi)</w:t>
            </w:r>
          </w:p>
        </w:tc>
        <w:tc>
          <w:tcPr>
            <w:tcW w:w="34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Commercial ₹6.89–7.75/kWh in FY26; non-residential charges reduced in FY27. Model uses ₹7.2</w:t>
            </w:r>
          </w:p>
        </w:tc>
        <w:tc>
          <w:tcPr>
            <w:tcW w:w="17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Verified</w:t>
            </w:r>
          </w:p>
        </w:tc>
      </w:tr>
      <w:tr w:rsidR="00CD2162" w:rsidRPr="00B97D27">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SRC-04</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RBI repo rate (Aug 2026 MPC)</w:t>
            </w:r>
          </w:p>
        </w:tc>
        <w:tc>
          <w:tcPr>
            <w:tcW w:w="34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5.25%; loan priced at repo plus spread = 10%</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Repo verified; spread estimated</w:t>
            </w:r>
          </w:p>
        </w:tc>
      </w:tr>
      <w:tr w:rsidR="00CD2162" w:rsidRPr="00B97D2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SRC-05</w:t>
            </w:r>
          </w:p>
        </w:tc>
        <w:tc>
          <w:tcPr>
            <w:tcW w:w="29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India 10-year G-Sec yield (Trading Economics, 15 Sep 2026)</w:t>
            </w:r>
          </w:p>
        </w:tc>
        <w:tc>
          <w:tcPr>
            <w:tcW w:w="34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≈7.1% used as risk-free rate</w:t>
            </w:r>
          </w:p>
        </w:tc>
        <w:tc>
          <w:tcPr>
            <w:tcW w:w="17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Verified</w:t>
            </w:r>
          </w:p>
        </w:tc>
      </w:tr>
      <w:tr w:rsidR="00CD2162" w:rsidRPr="00B97D27">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SRC-06</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CPI inflation and RBI projection</w:t>
            </w:r>
          </w:p>
        </w:tc>
        <w:tc>
          <w:tcPr>
            <w:tcW w:w="34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4.82% (Aug 2026); RBI FY27 projection 4.6%; used 5% price/cost growth</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Verified (inflation)</w:t>
            </w:r>
          </w:p>
        </w:tc>
      </w:tr>
      <w:tr w:rsidR="00CD2162" w:rsidRPr="00B97D2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SRC-07</w:t>
            </w:r>
          </w:p>
        </w:tc>
        <w:tc>
          <w:tcPr>
            <w:tcW w:w="29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Careers360: LPU profile</w:t>
            </w:r>
          </w:p>
        </w:tc>
        <w:tc>
          <w:tcPr>
            <w:tcW w:w="34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30,000+ students, GT Road location</w:t>
            </w:r>
          </w:p>
        </w:tc>
        <w:tc>
          <w:tcPr>
            <w:tcW w:w="17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Verified (secondary)</w:t>
            </w:r>
          </w:p>
        </w:tc>
      </w:tr>
      <w:tr w:rsidR="00CD2162" w:rsidRPr="00B97D27">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SRC-08</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Corporate tax, Sec. 115BAA</w:t>
            </w:r>
          </w:p>
        </w:tc>
        <w:tc>
          <w:tcPr>
            <w:tcW w:w="34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25.17%</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Statutory rate</w:t>
            </w:r>
          </w:p>
        </w:tc>
      </w:tr>
      <w:tr w:rsidR="00CD2162" w:rsidRPr="00B97D2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SRC-09</w:t>
            </w:r>
          </w:p>
        </w:tc>
        <w:tc>
          <w:tcPr>
            <w:tcW w:w="29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FSSAI and shop licences</w:t>
            </w:r>
          </w:p>
        </w:tc>
        <w:tc>
          <w:tcPr>
            <w:tcW w:w="34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₹30,000 set-up; ₹5,000/yr renewals</w:t>
            </w:r>
          </w:p>
        </w:tc>
        <w:tc>
          <w:tcPr>
            <w:tcW w:w="17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Estimate</w:t>
            </w:r>
          </w:p>
        </w:tc>
      </w:tr>
      <w:tr w:rsidR="00CD2162" w:rsidRPr="00B97D27">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SRC-10</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Café industry cost benchmarks</w:t>
            </w:r>
          </w:p>
        </w:tc>
        <w:tc>
          <w:tcPr>
            <w:tcW w:w="34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Food cost 32% + packaging 4% of sales; 7–15 day supplier credit</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Estimate (benchmark)</w:t>
            </w:r>
          </w:p>
        </w:tc>
      </w:tr>
      <w:tr w:rsidR="00CD2162" w:rsidRPr="00B97D2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SRC-11</w:t>
            </w:r>
          </w:p>
        </w:tc>
        <w:tc>
          <w:tcPr>
            <w:tcW w:w="29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Supplier price ranges (e.g. IndiaMART)</w:t>
            </w:r>
          </w:p>
        </w:tc>
        <w:tc>
          <w:tcPr>
            <w:tcW w:w="34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Equipment ₹8.0L, furniture ₹3.5L, fit-out ₹6.0L, POS ₹0.8L</w:t>
            </w:r>
          </w:p>
        </w:tc>
        <w:tc>
          <w:tcPr>
            <w:tcW w:w="17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Estimate</w:t>
            </w:r>
          </w:p>
        </w:tc>
      </w:tr>
      <w:tr w:rsidR="00CD2162" w:rsidRPr="00B97D27">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SRC-12</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Local rental market and layout</w:t>
            </w:r>
          </w:p>
        </w:tc>
        <w:tc>
          <w:tcPr>
            <w:tcW w:w="34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750 sq ft at ₹90/sq ft/month; 30 seats; 330 days</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Estimate</w:t>
            </w:r>
          </w:p>
        </w:tc>
      </w:tr>
      <w:tr w:rsidR="00CD2162" w:rsidRPr="00B97D2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SRC-13</w:t>
            </w:r>
          </w:p>
        </w:tc>
        <w:tc>
          <w:tcPr>
            <w:tcW w:w="29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Café menu prices near LPU</w:t>
            </w:r>
          </w:p>
        </w:tc>
        <w:tc>
          <w:tcPr>
            <w:tcW w:w="34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Average bill ₹160 (before GST)</w:t>
            </w:r>
          </w:p>
        </w:tc>
        <w:tc>
          <w:tcPr>
            <w:tcW w:w="17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Estimate</w:t>
            </w:r>
          </w:p>
        </w:tc>
      </w:tr>
      <w:tr w:rsidR="00CD2162" w:rsidRPr="00B97D27">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SRC-14</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CAPM inputs (beta, equity risk premium, start-up premium)</w:t>
            </w:r>
          </w:p>
        </w:tc>
        <w:tc>
          <w:tcPr>
            <w:tcW w:w="34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Beta 1.0; ERP 7%; start-up premium 5%</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Estimate</w:t>
            </w:r>
          </w:p>
        </w:tc>
      </w:tr>
      <w:tr w:rsidR="00CD2162" w:rsidRPr="00B97D2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6"/>
                <w:szCs w:val="16"/>
              </w:rPr>
              <w:t>SRC-15</w:t>
            </w:r>
          </w:p>
        </w:tc>
        <w:tc>
          <w:tcPr>
            <w:tcW w:w="29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6"/>
                <w:szCs w:val="16"/>
              </w:rPr>
              <w:t>Bank MSME loan terms</w:t>
            </w:r>
          </w:p>
        </w:tc>
        <w:tc>
          <w:tcPr>
            <w:tcW w:w="34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6"/>
                <w:szCs w:val="16"/>
              </w:rPr>
              <w:t>50% debt, 5-year tenor</w:t>
            </w:r>
          </w:p>
        </w:tc>
        <w:tc>
          <w:tcPr>
            <w:tcW w:w="17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6"/>
                <w:szCs w:val="16"/>
              </w:rPr>
              <w:t>Estimate</w:t>
            </w:r>
          </w:p>
        </w:tc>
      </w:tr>
    </w:tbl>
    <w:p w:rsidR="00CD2162" w:rsidRPr="00B97D27" w:rsidRDefault="00B97D27">
      <w:pPr>
        <w:spacing w:before="40" w:after="160"/>
        <w:rPr>
          <w:rFonts w:ascii="Times New Roman" w:hAnsi="Times New Roman" w:cs="Times New Roman"/>
        </w:rPr>
      </w:pPr>
      <w:r w:rsidRPr="00B97D27">
        <w:rPr>
          <w:rFonts w:ascii="Times New Roman" w:hAnsi="Times New Roman" w:cs="Times New Roman"/>
          <w:i/>
          <w:iCs/>
          <w:sz w:val="16"/>
          <w:szCs w:val="16"/>
        </w:rPr>
        <w:t>Source: sheet 02_Data_Sources. Full URLs and the "action to firm up" column are in the workbook.</w:t>
      </w:r>
    </w:p>
    <w:p w:rsidR="00CD2162" w:rsidRPr="00B97D27" w:rsidRDefault="00B97D27">
      <w:pPr>
        <w:pStyle w:val="Heading2"/>
        <w:keepNext/>
        <w:spacing w:before="200" w:after="100"/>
        <w:rPr>
          <w:rFonts w:ascii="Times New Roman" w:hAnsi="Times New Roman" w:cs="Times New Roman"/>
          <w:color w:val="auto"/>
        </w:rPr>
      </w:pPr>
      <w:r w:rsidRPr="00B97D27">
        <w:rPr>
          <w:rFonts w:ascii="Times New Roman" w:hAnsi="Times New Roman" w:cs="Times New Roman"/>
          <w:b/>
          <w:bCs/>
          <w:color w:val="auto"/>
          <w:sz w:val="24"/>
          <w:szCs w:val="24"/>
        </w:rPr>
        <w:t>3.3 Limitations of the evidence</w:t>
      </w:r>
    </w:p>
    <w:p w:rsidR="00CD2162" w:rsidRPr="00B97D27" w:rsidRDefault="00B97D27">
      <w:pPr>
        <w:spacing w:after="120" w:line="288" w:lineRule="auto"/>
        <w:jc w:val="both"/>
        <w:rPr>
          <w:rFonts w:ascii="Times New Roman" w:hAnsi="Times New Roman" w:cs="Times New Roman"/>
        </w:rPr>
      </w:pPr>
      <w:r w:rsidRPr="00B97D27">
        <w:rPr>
          <w:rFonts w:ascii="Times New Roman" w:hAnsi="Times New Roman" w:cs="Times New Roman"/>
        </w:rPr>
        <w:t xml:space="preserve">The most important estimated inputs are </w:t>
      </w:r>
      <w:r w:rsidRPr="00B97D27">
        <w:rPr>
          <w:rFonts w:ascii="Times New Roman" w:hAnsi="Times New Roman" w:cs="Times New Roman"/>
          <w:b/>
          <w:bCs/>
        </w:rPr>
        <w:t>rent, equipment and fit-out cost, average bill and seat utilisation</w:t>
      </w:r>
      <w:r w:rsidRPr="00B97D27">
        <w:rPr>
          <w:rFonts w:ascii="Times New Roman" w:hAnsi="Times New Roman" w:cs="Times New Roman"/>
        </w:rPr>
        <w:t>. These drive most of the result, and we have not obtained supplier quotations, landlord quotes or competitor footfall counts. We therefore treat the NPV as indicative rather than precise and rely heavily on the scenario and sensitivity analysis to show how wrong an estimate can be before the decision changes. Firming up these four inputs is the first condition of our recommendation.</w:t>
      </w:r>
    </w:p>
    <w:p w:rsidR="00CD2162" w:rsidRPr="00B97D27" w:rsidRDefault="00B97D27">
      <w:pPr>
        <w:pStyle w:val="Heading2"/>
        <w:keepNext/>
        <w:spacing w:before="200" w:after="100"/>
        <w:rPr>
          <w:rFonts w:ascii="Times New Roman" w:hAnsi="Times New Roman" w:cs="Times New Roman"/>
          <w:color w:val="auto"/>
        </w:rPr>
      </w:pPr>
      <w:r w:rsidRPr="00B97D27">
        <w:rPr>
          <w:rFonts w:ascii="Times New Roman" w:hAnsi="Times New Roman" w:cs="Times New Roman"/>
          <w:b/>
          <w:bCs/>
          <w:color w:val="auto"/>
          <w:sz w:val="24"/>
          <w:szCs w:val="24"/>
        </w:rPr>
        <w:t>3.4 Use of AI tools</w:t>
      </w:r>
    </w:p>
    <w:p w:rsidR="00CD2162" w:rsidRPr="00B97D27" w:rsidRDefault="00B97D27">
      <w:pPr>
        <w:spacing w:after="120" w:line="288" w:lineRule="auto"/>
        <w:jc w:val="both"/>
        <w:rPr>
          <w:rFonts w:ascii="Times New Roman" w:hAnsi="Times New Roman" w:cs="Times New Roman"/>
        </w:rPr>
      </w:pPr>
      <w:r w:rsidRPr="00B97D27">
        <w:rPr>
          <w:rFonts w:ascii="Times New Roman" w:hAnsi="Times New Roman" w:cs="Times New Roman"/>
        </w:rPr>
        <w:t xml:space="preserve">An AI assistant (Claude, by Anthropic) was used </w:t>
      </w:r>
      <w:r w:rsidR="00335855">
        <w:rPr>
          <w:rFonts w:ascii="Times New Roman" w:hAnsi="Times New Roman" w:cs="Times New Roman"/>
        </w:rPr>
        <w:t>to explain the assignment brief and</w:t>
      </w:r>
      <w:r w:rsidRPr="00B97D27">
        <w:rPr>
          <w:rFonts w:ascii="Times New Roman" w:hAnsi="Times New Roman" w:cs="Times New Roman"/>
        </w:rPr>
        <w:t xml:space="preserve"> search for public data (wages, t</w:t>
      </w:r>
      <w:r w:rsidR="00335855">
        <w:rPr>
          <w:rFonts w:ascii="Times New Roman" w:hAnsi="Times New Roman" w:cs="Times New Roman"/>
        </w:rPr>
        <w:t>ariffs, rates)</w:t>
      </w:r>
      <w:r w:rsidRPr="00B97D27">
        <w:rPr>
          <w:rFonts w:ascii="Times New Roman" w:hAnsi="Times New Roman" w:cs="Times New Roman"/>
        </w:rPr>
        <w:t xml:space="preserve">. Each AI-sourced figure was checked against the sources above or labelled as an estimate. The log of what was asked, what was used, and what was verified is in sheet 03_AI_Research_Log and in Appendix D. </w:t>
      </w:r>
    </w:p>
    <w:p w:rsidR="00CD2162" w:rsidRPr="00B97D27" w:rsidRDefault="00B97D27">
      <w:pPr>
        <w:pStyle w:val="Heading1"/>
        <w:keepNext/>
        <w:pBdr>
          <w:bottom w:val="single" w:sz="8" w:space="4" w:color="1F3864"/>
        </w:pBdr>
        <w:spacing w:before="240" w:after="160"/>
        <w:rPr>
          <w:rFonts w:ascii="Times New Roman" w:hAnsi="Times New Roman" w:cs="Times New Roman"/>
          <w:color w:val="auto"/>
        </w:rPr>
      </w:pPr>
      <w:r w:rsidRPr="00B97D27">
        <w:rPr>
          <w:rFonts w:ascii="Times New Roman" w:hAnsi="Times New Roman" w:cs="Times New Roman"/>
          <w:b/>
          <w:bCs/>
          <w:color w:val="auto"/>
        </w:rPr>
        <w:t>4. Operating Model</w:t>
      </w:r>
    </w:p>
    <w:p w:rsidR="00CD2162" w:rsidRPr="00B97D27" w:rsidRDefault="00B97D27">
      <w:pPr>
        <w:pStyle w:val="Heading2"/>
        <w:keepNext/>
        <w:spacing w:before="200" w:after="100"/>
        <w:rPr>
          <w:rFonts w:ascii="Times New Roman" w:hAnsi="Times New Roman" w:cs="Times New Roman"/>
          <w:color w:val="auto"/>
        </w:rPr>
      </w:pPr>
      <w:r w:rsidRPr="00B97D27">
        <w:rPr>
          <w:rFonts w:ascii="Times New Roman" w:hAnsi="Times New Roman" w:cs="Times New Roman"/>
          <w:b/>
          <w:bCs/>
          <w:color w:val="auto"/>
          <w:sz w:val="24"/>
          <w:szCs w:val="24"/>
        </w:rPr>
        <w:t>4.1 How revenue is built</w:t>
      </w:r>
    </w:p>
    <w:p w:rsidR="00CD2162" w:rsidRPr="00B97D27" w:rsidRDefault="00B97D27">
      <w:pPr>
        <w:spacing w:after="120" w:line="288" w:lineRule="auto"/>
        <w:jc w:val="both"/>
        <w:rPr>
          <w:rFonts w:ascii="Times New Roman" w:hAnsi="Times New Roman" w:cs="Times New Roman"/>
        </w:rPr>
      </w:pPr>
      <w:r w:rsidRPr="00B97D27">
        <w:rPr>
          <w:rFonts w:ascii="Times New Roman" w:hAnsi="Times New Roman" w:cs="Times New Roman"/>
        </w:rPr>
        <w:t xml:space="preserve">A café earns money by selling food and drinks. Because no sales history exists, we do not type a sales figure; we </w:t>
      </w:r>
      <w:r w:rsidRPr="00B97D27">
        <w:rPr>
          <w:rFonts w:ascii="Times New Roman" w:hAnsi="Times New Roman" w:cs="Times New Roman"/>
          <w:b/>
          <w:bCs/>
        </w:rPr>
        <w:t>derive it from physical capacity</w:t>
      </w:r>
      <w:r w:rsidRPr="00B97D27">
        <w:rPr>
          <w:rFonts w:ascii="Times New Roman" w:hAnsi="Times New Roman" w:cs="Times New Roman"/>
        </w:rPr>
        <w:t>. Seats are the ceiling: a café cannot serve more customers than its seats and opening hours allow. Each seat is "turned" several times a day (one group sits, eats, pays and leaves). So:</w:t>
      </w:r>
    </w:p>
    <w:p w:rsidR="00CD2162" w:rsidRPr="00B97D27" w:rsidRDefault="00B97D27">
      <w:pPr>
        <w:spacing w:after="120" w:line="288" w:lineRule="auto"/>
        <w:jc w:val="center"/>
        <w:rPr>
          <w:rFonts w:ascii="Times New Roman" w:hAnsi="Times New Roman" w:cs="Times New Roman"/>
        </w:rPr>
      </w:pPr>
      <w:r w:rsidRPr="00B97D27">
        <w:rPr>
          <w:rFonts w:ascii="Times New Roman" w:hAnsi="Times New Roman" w:cs="Times New Roman"/>
          <w:b/>
          <w:bCs/>
        </w:rPr>
        <w:t>Customers per year = seats × seat turns per day × days open</w:t>
      </w:r>
      <w:r w:rsidRPr="00B97D27">
        <w:rPr>
          <w:rFonts w:ascii="Times New Roman" w:hAnsi="Times New Roman" w:cs="Times New Roman"/>
        </w:rPr>
        <w:t xml:space="preserve">, and </w:t>
      </w:r>
      <w:r w:rsidRPr="00B97D27">
        <w:rPr>
          <w:rFonts w:ascii="Times New Roman" w:hAnsi="Times New Roman" w:cs="Times New Roman"/>
          <w:b/>
          <w:bCs/>
        </w:rPr>
        <w:t>Revenue = customers × average bill.</w:t>
      </w:r>
    </w:p>
    <w:p w:rsidR="00CD2162" w:rsidRPr="00B97D27" w:rsidRDefault="00B97D27">
      <w:pPr>
        <w:spacing w:after="120" w:line="288" w:lineRule="auto"/>
        <w:jc w:val="both"/>
        <w:rPr>
          <w:rFonts w:ascii="Times New Roman" w:hAnsi="Times New Roman" w:cs="Times New Roman"/>
        </w:rPr>
      </w:pPr>
      <w:r w:rsidRPr="00B97D27">
        <w:rPr>
          <w:rFonts w:ascii="Times New Roman" w:hAnsi="Times New Roman" w:cs="Times New Roman"/>
        </w:rPr>
        <w:t xml:space="preserve">This is the standard way to forecast hotels (rooms × occupancy), hospitals (beds × occupancy) and restaurants (seats × turns). We chose it because it is defendable: it prevents claiming sales the shop could not physically serve, and the one uncertain input (turns) is visible and testable. We then cross-check it </w:t>
      </w:r>
      <w:r w:rsidRPr="00B97D27">
        <w:rPr>
          <w:rFonts w:ascii="Times New Roman" w:hAnsi="Times New Roman" w:cs="Times New Roman"/>
        </w:rPr>
        <w:lastRenderedPageBreak/>
        <w:t>against demand: 75 customers a day in Year 1 is a very small share of a campus community of more than 30,000.</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926"/>
        <w:gridCol w:w="1220"/>
        <w:gridCol w:w="1220"/>
        <w:gridCol w:w="1220"/>
        <w:gridCol w:w="1220"/>
        <w:gridCol w:w="1220"/>
      </w:tblGrid>
      <w:tr w:rsidR="00CD2162" w:rsidRPr="00B97D27">
        <w:trPr>
          <w:cantSplit/>
          <w:tblHeader/>
        </w:trPr>
        <w:tc>
          <w:tcPr>
            <w:tcW w:w="29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7"/>
                <w:szCs w:val="17"/>
              </w:rPr>
              <w:t>Operating driver</w:t>
            </w:r>
          </w:p>
        </w:tc>
        <w:tc>
          <w:tcPr>
            <w:tcW w:w="122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7"/>
                <w:szCs w:val="17"/>
              </w:rPr>
              <w:t>Year 1</w:t>
            </w:r>
          </w:p>
        </w:tc>
        <w:tc>
          <w:tcPr>
            <w:tcW w:w="122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7"/>
                <w:szCs w:val="17"/>
              </w:rPr>
              <w:t>Year 2</w:t>
            </w:r>
          </w:p>
        </w:tc>
        <w:tc>
          <w:tcPr>
            <w:tcW w:w="122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7"/>
                <w:szCs w:val="17"/>
              </w:rPr>
              <w:t>Year 3</w:t>
            </w:r>
          </w:p>
        </w:tc>
        <w:tc>
          <w:tcPr>
            <w:tcW w:w="122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7"/>
                <w:szCs w:val="17"/>
              </w:rPr>
              <w:t>Year 4</w:t>
            </w:r>
          </w:p>
        </w:tc>
        <w:tc>
          <w:tcPr>
            <w:tcW w:w="122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7"/>
                <w:szCs w:val="17"/>
              </w:rPr>
              <w:t>Year 5</w:t>
            </w:r>
          </w:p>
        </w:tc>
      </w:tr>
      <w:tr w:rsidR="00CD2162" w:rsidRPr="00B97D27">
        <w:trPr>
          <w:cantSplit/>
        </w:trPr>
        <w:tc>
          <w:tcPr>
            <w:tcW w:w="29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Seats (units)</w:t>
            </w:r>
          </w:p>
        </w:tc>
        <w:tc>
          <w:tcPr>
            <w:tcW w:w="12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30</w:t>
            </w:r>
          </w:p>
        </w:tc>
        <w:tc>
          <w:tcPr>
            <w:tcW w:w="12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30</w:t>
            </w:r>
          </w:p>
        </w:tc>
        <w:tc>
          <w:tcPr>
            <w:tcW w:w="12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30</w:t>
            </w:r>
          </w:p>
        </w:tc>
        <w:tc>
          <w:tcPr>
            <w:tcW w:w="12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30</w:t>
            </w:r>
          </w:p>
        </w:tc>
        <w:tc>
          <w:tcPr>
            <w:tcW w:w="12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30</w:t>
            </w:r>
          </w:p>
        </w:tc>
      </w:tr>
      <w:tr w:rsidR="00CD2162" w:rsidRPr="00B97D27">
        <w:trPr>
          <w:cantSplit/>
        </w:trPr>
        <w:tc>
          <w:tcPr>
            <w:tcW w:w="29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Seat turns per day</w:t>
            </w:r>
          </w:p>
        </w:tc>
        <w:tc>
          <w:tcPr>
            <w:tcW w:w="122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2.5</w:t>
            </w:r>
          </w:p>
        </w:tc>
        <w:tc>
          <w:tcPr>
            <w:tcW w:w="122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3.0</w:t>
            </w:r>
          </w:p>
        </w:tc>
        <w:tc>
          <w:tcPr>
            <w:tcW w:w="122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3.5</w:t>
            </w:r>
          </w:p>
        </w:tc>
        <w:tc>
          <w:tcPr>
            <w:tcW w:w="122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3.8</w:t>
            </w:r>
          </w:p>
        </w:tc>
        <w:tc>
          <w:tcPr>
            <w:tcW w:w="122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4.0</w:t>
            </w:r>
          </w:p>
        </w:tc>
      </w:tr>
      <w:tr w:rsidR="00CD2162" w:rsidRPr="00B97D27">
        <w:trPr>
          <w:cantSplit/>
        </w:trPr>
        <w:tc>
          <w:tcPr>
            <w:tcW w:w="29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Days open</w:t>
            </w:r>
          </w:p>
        </w:tc>
        <w:tc>
          <w:tcPr>
            <w:tcW w:w="12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330</w:t>
            </w:r>
          </w:p>
        </w:tc>
        <w:tc>
          <w:tcPr>
            <w:tcW w:w="12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330</w:t>
            </w:r>
          </w:p>
        </w:tc>
        <w:tc>
          <w:tcPr>
            <w:tcW w:w="12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330</w:t>
            </w:r>
          </w:p>
        </w:tc>
        <w:tc>
          <w:tcPr>
            <w:tcW w:w="12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330</w:t>
            </w:r>
          </w:p>
        </w:tc>
        <w:tc>
          <w:tcPr>
            <w:tcW w:w="12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330</w:t>
            </w:r>
          </w:p>
        </w:tc>
      </w:tr>
      <w:tr w:rsidR="00CD2162" w:rsidRPr="00B97D27">
        <w:trPr>
          <w:cantSplit/>
        </w:trPr>
        <w:tc>
          <w:tcPr>
            <w:tcW w:w="29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Customers per year</w:t>
            </w:r>
          </w:p>
        </w:tc>
        <w:tc>
          <w:tcPr>
            <w:tcW w:w="122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24,750</w:t>
            </w:r>
          </w:p>
        </w:tc>
        <w:tc>
          <w:tcPr>
            <w:tcW w:w="122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29,700</w:t>
            </w:r>
          </w:p>
        </w:tc>
        <w:tc>
          <w:tcPr>
            <w:tcW w:w="122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34,650</w:t>
            </w:r>
          </w:p>
        </w:tc>
        <w:tc>
          <w:tcPr>
            <w:tcW w:w="122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37,620</w:t>
            </w:r>
          </w:p>
        </w:tc>
        <w:tc>
          <w:tcPr>
            <w:tcW w:w="122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39,600</w:t>
            </w:r>
          </w:p>
        </w:tc>
      </w:tr>
      <w:tr w:rsidR="00CD2162" w:rsidRPr="00B97D27">
        <w:trPr>
          <w:cantSplit/>
        </w:trPr>
        <w:tc>
          <w:tcPr>
            <w:tcW w:w="29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Customers per day</w:t>
            </w:r>
          </w:p>
        </w:tc>
        <w:tc>
          <w:tcPr>
            <w:tcW w:w="12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75</w:t>
            </w:r>
          </w:p>
        </w:tc>
        <w:tc>
          <w:tcPr>
            <w:tcW w:w="12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90</w:t>
            </w:r>
          </w:p>
        </w:tc>
        <w:tc>
          <w:tcPr>
            <w:tcW w:w="12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105</w:t>
            </w:r>
          </w:p>
        </w:tc>
        <w:tc>
          <w:tcPr>
            <w:tcW w:w="12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114</w:t>
            </w:r>
          </w:p>
        </w:tc>
        <w:tc>
          <w:tcPr>
            <w:tcW w:w="12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120</w:t>
            </w:r>
          </w:p>
        </w:tc>
      </w:tr>
      <w:tr w:rsidR="00CD2162" w:rsidRPr="00B97D27">
        <w:trPr>
          <w:cantSplit/>
        </w:trPr>
        <w:tc>
          <w:tcPr>
            <w:tcW w:w="29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Average bill (₹)</w:t>
            </w:r>
          </w:p>
        </w:tc>
        <w:tc>
          <w:tcPr>
            <w:tcW w:w="122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160</w:t>
            </w:r>
          </w:p>
        </w:tc>
        <w:tc>
          <w:tcPr>
            <w:tcW w:w="122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168</w:t>
            </w:r>
          </w:p>
        </w:tc>
        <w:tc>
          <w:tcPr>
            <w:tcW w:w="122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176</w:t>
            </w:r>
          </w:p>
        </w:tc>
        <w:tc>
          <w:tcPr>
            <w:tcW w:w="122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185</w:t>
            </w:r>
          </w:p>
        </w:tc>
        <w:tc>
          <w:tcPr>
            <w:tcW w:w="122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194</w:t>
            </w:r>
          </w:p>
        </w:tc>
      </w:tr>
      <w:tr w:rsidR="00CD2162" w:rsidRPr="00B97D27">
        <w:trPr>
          <w:cantSplit/>
        </w:trPr>
        <w:tc>
          <w:tcPr>
            <w:tcW w:w="2926"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b/>
                <w:bCs/>
                <w:sz w:val="17"/>
                <w:szCs w:val="17"/>
              </w:rPr>
              <w:t>Revenue (₹ lakh)</w:t>
            </w:r>
          </w:p>
        </w:tc>
        <w:tc>
          <w:tcPr>
            <w:tcW w:w="122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b/>
                <w:bCs/>
                <w:sz w:val="17"/>
                <w:szCs w:val="17"/>
              </w:rPr>
              <w:t>39.60</w:t>
            </w:r>
          </w:p>
        </w:tc>
        <w:tc>
          <w:tcPr>
            <w:tcW w:w="122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b/>
                <w:bCs/>
                <w:sz w:val="17"/>
                <w:szCs w:val="17"/>
              </w:rPr>
              <w:t>49.90</w:t>
            </w:r>
          </w:p>
        </w:tc>
        <w:tc>
          <w:tcPr>
            <w:tcW w:w="122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b/>
                <w:bCs/>
                <w:sz w:val="17"/>
                <w:szCs w:val="17"/>
              </w:rPr>
              <w:t>61.12</w:t>
            </w:r>
          </w:p>
        </w:tc>
        <w:tc>
          <w:tcPr>
            <w:tcW w:w="122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b/>
                <w:bCs/>
                <w:sz w:val="17"/>
                <w:szCs w:val="17"/>
              </w:rPr>
              <w:t>69.68</w:t>
            </w:r>
          </w:p>
        </w:tc>
        <w:tc>
          <w:tcPr>
            <w:tcW w:w="122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b/>
                <w:bCs/>
                <w:sz w:val="17"/>
                <w:szCs w:val="17"/>
              </w:rPr>
              <w:t>77.01</w:t>
            </w:r>
          </w:p>
        </w:tc>
      </w:tr>
    </w:tbl>
    <w:p w:rsidR="00CD2162" w:rsidRPr="00B97D27" w:rsidRDefault="00B97D27">
      <w:pPr>
        <w:spacing w:before="40" w:after="160"/>
        <w:rPr>
          <w:rFonts w:ascii="Times New Roman" w:hAnsi="Times New Roman" w:cs="Times New Roman"/>
        </w:rPr>
      </w:pPr>
      <w:r w:rsidRPr="00B97D27">
        <w:rPr>
          <w:rFonts w:ascii="Times New Roman" w:hAnsi="Times New Roman" w:cs="Times New Roman"/>
          <w:i/>
          <w:iCs/>
          <w:sz w:val="16"/>
          <w:szCs w:val="16"/>
        </w:rPr>
        <w:t>Source: sheets 05_Operating_Drivers and 07_Revenue_Model.</w:t>
      </w:r>
    </w:p>
    <w:p w:rsidR="00CD2162" w:rsidRPr="00B97D27" w:rsidRDefault="00B97D27">
      <w:pPr>
        <w:pStyle w:val="Heading2"/>
        <w:keepNext/>
        <w:spacing w:before="200" w:after="100"/>
        <w:rPr>
          <w:rFonts w:ascii="Times New Roman" w:hAnsi="Times New Roman" w:cs="Times New Roman"/>
          <w:color w:val="auto"/>
        </w:rPr>
      </w:pPr>
      <w:r w:rsidRPr="00B97D27">
        <w:rPr>
          <w:rFonts w:ascii="Times New Roman" w:hAnsi="Times New Roman" w:cs="Times New Roman"/>
          <w:b/>
          <w:bCs/>
          <w:color w:val="auto"/>
          <w:sz w:val="24"/>
          <w:szCs w:val="24"/>
        </w:rPr>
        <w:t>4.2 Pricing and utilisation logic</w:t>
      </w:r>
    </w:p>
    <w:p w:rsidR="00CD2162" w:rsidRPr="00B97D27" w:rsidRDefault="00B97D27">
      <w:pPr>
        <w:pStyle w:val="ListParagraph"/>
        <w:numPr>
          <w:ilvl w:val="0"/>
          <w:numId w:val="2"/>
        </w:numPr>
        <w:spacing w:after="70" w:line="276" w:lineRule="auto"/>
        <w:rPr>
          <w:rFonts w:ascii="Times New Roman" w:hAnsi="Times New Roman" w:cs="Times New Roman"/>
        </w:rPr>
      </w:pPr>
      <w:r w:rsidRPr="00B97D27">
        <w:rPr>
          <w:rFonts w:ascii="Times New Roman" w:hAnsi="Times New Roman" w:cs="Times New Roman"/>
          <w:b/>
          <w:bCs/>
        </w:rPr>
        <w:t>Average bill ₹160</w:t>
      </w:r>
      <w:r w:rsidRPr="00B97D27">
        <w:rPr>
          <w:rFonts w:ascii="Times New Roman" w:hAnsi="Times New Roman" w:cs="Times New Roman"/>
        </w:rPr>
        <w:t xml:space="preserve"> in Year 1 (a beverage plus a snack or combo), rising 5% a year in line with inflation (CPI 4.82% in August 2026).</w:t>
      </w:r>
    </w:p>
    <w:p w:rsidR="00CD2162" w:rsidRPr="00B97D27" w:rsidRDefault="00B97D27">
      <w:pPr>
        <w:pStyle w:val="ListParagraph"/>
        <w:numPr>
          <w:ilvl w:val="0"/>
          <w:numId w:val="2"/>
        </w:numPr>
        <w:spacing w:after="70" w:line="276" w:lineRule="auto"/>
        <w:rPr>
          <w:rFonts w:ascii="Times New Roman" w:hAnsi="Times New Roman" w:cs="Times New Roman"/>
        </w:rPr>
      </w:pPr>
      <w:r w:rsidRPr="00B97D27">
        <w:rPr>
          <w:rFonts w:ascii="Times New Roman" w:hAnsi="Times New Roman" w:cs="Times New Roman"/>
          <w:b/>
          <w:bCs/>
        </w:rPr>
        <w:t>Seat turns ramp from 2.5 to 4.0.</w:t>
      </w:r>
      <w:r w:rsidRPr="00B97D27">
        <w:rPr>
          <w:rFonts w:ascii="Times New Roman" w:hAnsi="Times New Roman" w:cs="Times New Roman"/>
        </w:rPr>
        <w:t xml:space="preserve"> A new café fills slowly and builds a following; later years assume it becomes a habit for part of the campus.</w:t>
      </w:r>
    </w:p>
    <w:p w:rsidR="00CD2162" w:rsidRPr="00B97D27" w:rsidRDefault="00B97D27">
      <w:pPr>
        <w:pStyle w:val="ListParagraph"/>
        <w:numPr>
          <w:ilvl w:val="0"/>
          <w:numId w:val="2"/>
        </w:numPr>
        <w:spacing w:after="70" w:line="276" w:lineRule="auto"/>
        <w:rPr>
          <w:rFonts w:ascii="Times New Roman" w:hAnsi="Times New Roman" w:cs="Times New Roman"/>
        </w:rPr>
      </w:pPr>
      <w:r w:rsidRPr="00B97D27">
        <w:rPr>
          <w:rFonts w:ascii="Times New Roman" w:hAnsi="Times New Roman" w:cs="Times New Roman"/>
          <w:b/>
          <w:bCs/>
        </w:rPr>
        <w:t>330 operating days.</w:t>
      </w:r>
      <w:r w:rsidRPr="00B97D27">
        <w:rPr>
          <w:rFonts w:ascii="Times New Roman" w:hAnsi="Times New Roman" w:cs="Times New Roman"/>
        </w:rPr>
        <w:t xml:space="preserve"> Allows for festival closures and quieter semester-break periods near a university.</w:t>
      </w:r>
    </w:p>
    <w:p w:rsidR="00CD2162" w:rsidRPr="00B97D27" w:rsidRDefault="00B97D27">
      <w:pPr>
        <w:pStyle w:val="Heading2"/>
        <w:keepNext/>
        <w:spacing w:before="200" w:after="100"/>
        <w:rPr>
          <w:rFonts w:ascii="Times New Roman" w:hAnsi="Times New Roman" w:cs="Times New Roman"/>
          <w:color w:val="auto"/>
        </w:rPr>
      </w:pPr>
      <w:r w:rsidRPr="00B97D27">
        <w:rPr>
          <w:rFonts w:ascii="Times New Roman" w:hAnsi="Times New Roman" w:cs="Times New Roman"/>
          <w:b/>
          <w:bCs/>
          <w:color w:val="auto"/>
          <w:sz w:val="24"/>
          <w:szCs w:val="24"/>
        </w:rPr>
        <w:t>4.3 Cost behaviour</w:t>
      </w:r>
    </w:p>
    <w:p w:rsidR="00CD2162" w:rsidRPr="00B97D27" w:rsidRDefault="00B97D27">
      <w:pPr>
        <w:spacing w:after="120" w:line="288" w:lineRule="auto"/>
        <w:jc w:val="both"/>
        <w:rPr>
          <w:rFonts w:ascii="Times New Roman" w:hAnsi="Times New Roman" w:cs="Times New Roman"/>
        </w:rPr>
      </w:pPr>
      <w:r w:rsidRPr="00B97D27">
        <w:rPr>
          <w:rFonts w:ascii="Times New Roman" w:hAnsi="Times New Roman" w:cs="Times New Roman"/>
        </w:rPr>
        <w:t xml:space="preserve">Costs are separated by how they behave, which matters for break-even and sensitivity. </w:t>
      </w:r>
      <w:r w:rsidRPr="00B97D27">
        <w:rPr>
          <w:rFonts w:ascii="Times New Roman" w:hAnsi="Times New Roman" w:cs="Times New Roman"/>
          <w:b/>
          <w:bCs/>
        </w:rPr>
        <w:t>Variable costs</w:t>
      </w:r>
      <w:r w:rsidRPr="00B97D27">
        <w:rPr>
          <w:rFonts w:ascii="Times New Roman" w:hAnsi="Times New Roman" w:cs="Times New Roman"/>
        </w:rPr>
        <w:t xml:space="preserve"> (ingredients 32% and packaging 4% of sales) rise and fall with customers. </w:t>
      </w:r>
      <w:r w:rsidRPr="00B97D27">
        <w:rPr>
          <w:rFonts w:ascii="Times New Roman" w:hAnsi="Times New Roman" w:cs="Times New Roman"/>
          <w:b/>
          <w:bCs/>
        </w:rPr>
        <w:t>Fixed costs</w:t>
      </w:r>
      <w:r w:rsidRPr="00B97D27">
        <w:rPr>
          <w:rFonts w:ascii="Times New Roman" w:hAnsi="Times New Roman" w:cs="Times New Roman"/>
        </w:rPr>
        <w:t xml:space="preserve"> (salaries, rent, marketing, insurance, maintenance, licences) do not change with customers in the short run. </w:t>
      </w:r>
      <w:r w:rsidRPr="00B97D27">
        <w:rPr>
          <w:rFonts w:ascii="Times New Roman" w:hAnsi="Times New Roman" w:cs="Times New Roman"/>
          <w:b/>
          <w:bCs/>
        </w:rPr>
        <w:t>Electricity is semi-variable:</w:t>
      </w:r>
      <w:r w:rsidRPr="00B97D27">
        <w:rPr>
          <w:rFonts w:ascii="Times New Roman" w:hAnsi="Times New Roman" w:cs="Times New Roman"/>
        </w:rPr>
        <w:t xml:space="preserve"> 60% is fixed (refrigeration, lighting) and 40% moves with customers.</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226"/>
        <w:gridCol w:w="1160"/>
        <w:gridCol w:w="1160"/>
        <w:gridCol w:w="1160"/>
        <w:gridCol w:w="1160"/>
        <w:gridCol w:w="1160"/>
      </w:tblGrid>
      <w:tr w:rsidR="00CD2162" w:rsidRPr="00B97D27">
        <w:trPr>
          <w:cantSplit/>
          <w:tblHeader/>
        </w:trPr>
        <w:tc>
          <w:tcPr>
            <w:tcW w:w="32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Cost (₹ lakh)</w:t>
            </w:r>
          </w:p>
        </w:tc>
        <w:tc>
          <w:tcPr>
            <w:tcW w:w="11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6"/>
                <w:szCs w:val="16"/>
              </w:rPr>
              <w:t>Year 1</w:t>
            </w:r>
          </w:p>
        </w:tc>
        <w:tc>
          <w:tcPr>
            <w:tcW w:w="11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6"/>
                <w:szCs w:val="16"/>
              </w:rPr>
              <w:t>Year 2</w:t>
            </w:r>
          </w:p>
        </w:tc>
        <w:tc>
          <w:tcPr>
            <w:tcW w:w="11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6"/>
                <w:szCs w:val="16"/>
              </w:rPr>
              <w:t>Year 3</w:t>
            </w:r>
          </w:p>
        </w:tc>
        <w:tc>
          <w:tcPr>
            <w:tcW w:w="11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6"/>
                <w:szCs w:val="16"/>
              </w:rPr>
              <w:t>Year 4</w:t>
            </w:r>
          </w:p>
        </w:tc>
        <w:tc>
          <w:tcPr>
            <w:tcW w:w="11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6"/>
                <w:szCs w:val="16"/>
              </w:rPr>
              <w:t>Year 5</w:t>
            </w:r>
          </w:p>
        </w:tc>
      </w:tr>
      <w:tr w:rsidR="00CD2162" w:rsidRPr="00B97D27">
        <w:trPr>
          <w:cantSplit/>
        </w:trPr>
        <w:tc>
          <w:tcPr>
            <w:tcW w:w="32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Ingredients (variable)</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12.67</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15.97</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19.56</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22.30</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24.64</w:t>
            </w:r>
          </w:p>
        </w:tc>
      </w:tr>
      <w:tr w:rsidR="00CD2162" w:rsidRPr="00B97D27">
        <w:trPr>
          <w:cantSplit/>
        </w:trPr>
        <w:tc>
          <w:tcPr>
            <w:tcW w:w="32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Packaging (variable)</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1.58</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2.00</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2.44</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2.79</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3.08</w:t>
            </w:r>
          </w:p>
        </w:tc>
      </w:tr>
      <w:tr w:rsidR="00CD2162" w:rsidRPr="00B97D27">
        <w:trPr>
          <w:cantSplit/>
        </w:trPr>
        <w:tc>
          <w:tcPr>
            <w:tcW w:w="32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Salaries incl. on-costs (fixed)</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11.73</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12.43</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13.18</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13.97</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14.81</w:t>
            </w:r>
          </w:p>
        </w:tc>
      </w:tr>
      <w:tr w:rsidR="00CD2162" w:rsidRPr="00B97D27">
        <w:trPr>
          <w:cantSplit/>
        </w:trPr>
        <w:tc>
          <w:tcPr>
            <w:tcW w:w="32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Rent (fixed)</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8.10</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8.51</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8.93</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9.38</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9.85</w:t>
            </w:r>
          </w:p>
        </w:tc>
      </w:tr>
      <w:tr w:rsidR="00CD2162" w:rsidRPr="00B97D27">
        <w:trPr>
          <w:cantSplit/>
        </w:trPr>
        <w:tc>
          <w:tcPr>
            <w:tcW w:w="32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Electricity (semi-variable)</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1.73</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1.96</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2.21</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2.42</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2.60</w:t>
            </w:r>
          </w:p>
        </w:tc>
      </w:tr>
      <w:tr w:rsidR="00CD2162" w:rsidRPr="00B97D27">
        <w:trPr>
          <w:cantSplit/>
        </w:trPr>
        <w:tc>
          <w:tcPr>
            <w:tcW w:w="32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LPG, water &amp; utilities (fixed)</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0.72</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0.76</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0.79</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0.83</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0.88</w:t>
            </w:r>
          </w:p>
        </w:tc>
      </w:tr>
      <w:tr w:rsidR="00CD2162" w:rsidRPr="00B97D27">
        <w:trPr>
          <w:cantSplit/>
        </w:trPr>
        <w:tc>
          <w:tcPr>
            <w:tcW w:w="32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Marketing (fixed)</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0.96</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1.01</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1.06</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1.11</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1.17</w:t>
            </w:r>
          </w:p>
        </w:tc>
      </w:tr>
      <w:tr w:rsidR="00CD2162" w:rsidRPr="00B97D27">
        <w:trPr>
          <w:cantSplit/>
        </w:trPr>
        <w:tc>
          <w:tcPr>
            <w:tcW w:w="32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Insurance (fixed)</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0.25</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0.26</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0.28</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0.29</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0.30</w:t>
            </w:r>
          </w:p>
        </w:tc>
      </w:tr>
      <w:tr w:rsidR="00CD2162" w:rsidRPr="00B97D27">
        <w:trPr>
          <w:cantSplit/>
        </w:trPr>
        <w:tc>
          <w:tcPr>
            <w:tcW w:w="32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Maintenance (fixed)</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0.37</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0.39</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0.41</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0.43</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0.45</w:t>
            </w:r>
          </w:p>
        </w:tc>
      </w:tr>
      <w:tr w:rsidR="00CD2162" w:rsidRPr="00B97D27">
        <w:trPr>
          <w:cantSplit/>
        </w:trPr>
        <w:tc>
          <w:tcPr>
            <w:tcW w:w="32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Licence renewals (fixed)</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0.05</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0.05</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0.06</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0.06</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0.06</w:t>
            </w:r>
          </w:p>
        </w:tc>
      </w:tr>
      <w:tr w:rsidR="00CD2162" w:rsidRPr="00B97D27">
        <w:trPr>
          <w:cantSplit/>
        </w:trPr>
        <w:tc>
          <w:tcPr>
            <w:tcW w:w="32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Other fixed costs</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0.72</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0.76</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0.79</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0.83</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0.88</w:t>
            </w:r>
          </w:p>
        </w:tc>
      </w:tr>
      <w:tr w:rsidR="00CD2162" w:rsidRPr="00B97D27">
        <w:trPr>
          <w:cantSplit/>
        </w:trPr>
        <w:tc>
          <w:tcPr>
            <w:tcW w:w="3226"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b/>
                <w:bCs/>
                <w:sz w:val="16"/>
                <w:szCs w:val="16"/>
              </w:rPr>
              <w:t>Total operating cost</w:t>
            </w:r>
          </w:p>
        </w:tc>
        <w:tc>
          <w:tcPr>
            <w:tcW w:w="116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b/>
                <w:bCs/>
                <w:sz w:val="16"/>
                <w:szCs w:val="16"/>
              </w:rPr>
              <w:t>38.88</w:t>
            </w:r>
          </w:p>
        </w:tc>
        <w:tc>
          <w:tcPr>
            <w:tcW w:w="116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b/>
                <w:bCs/>
                <w:sz w:val="16"/>
                <w:szCs w:val="16"/>
              </w:rPr>
              <w:t>44.08</w:t>
            </w:r>
          </w:p>
        </w:tc>
        <w:tc>
          <w:tcPr>
            <w:tcW w:w="116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b/>
                <w:bCs/>
                <w:sz w:val="16"/>
                <w:szCs w:val="16"/>
              </w:rPr>
              <w:t>49.71</w:t>
            </w:r>
          </w:p>
        </w:tc>
        <w:tc>
          <w:tcPr>
            <w:tcW w:w="116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b/>
                <w:bCs/>
                <w:sz w:val="16"/>
                <w:szCs w:val="16"/>
              </w:rPr>
              <w:t>54.40</w:t>
            </w:r>
          </w:p>
        </w:tc>
        <w:tc>
          <w:tcPr>
            <w:tcW w:w="116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b/>
                <w:bCs/>
                <w:sz w:val="16"/>
                <w:szCs w:val="16"/>
              </w:rPr>
              <w:t>58.71</w:t>
            </w:r>
          </w:p>
        </w:tc>
      </w:tr>
    </w:tbl>
    <w:p w:rsidR="00CD2162" w:rsidRPr="00B97D27" w:rsidRDefault="00B97D27">
      <w:pPr>
        <w:spacing w:before="40" w:after="160"/>
        <w:rPr>
          <w:rFonts w:ascii="Times New Roman" w:hAnsi="Times New Roman" w:cs="Times New Roman"/>
        </w:rPr>
      </w:pPr>
      <w:r w:rsidRPr="00B97D27">
        <w:rPr>
          <w:rFonts w:ascii="Times New Roman" w:hAnsi="Times New Roman" w:cs="Times New Roman"/>
          <w:i/>
          <w:iCs/>
          <w:sz w:val="16"/>
          <w:szCs w:val="16"/>
        </w:rPr>
        <w:t>Source: sheet 08_Cost_Model. Salaries start at ₹90,500 per month for five staff, rising 6% a year plus 8% on-costs; rent starts at ₹67,500 per month (750 sq ft × ₹90) with 5% annual escalation.</w:t>
      </w:r>
    </w:p>
    <w:p w:rsidR="00CD2162" w:rsidRPr="00B97D27" w:rsidRDefault="00B97D27">
      <w:pPr>
        <w:pStyle w:val="Heading1"/>
        <w:keepNext/>
        <w:pBdr>
          <w:bottom w:val="single" w:sz="8" w:space="4" w:color="1F3864"/>
        </w:pBdr>
        <w:spacing w:before="240" w:after="160"/>
        <w:rPr>
          <w:rFonts w:ascii="Times New Roman" w:hAnsi="Times New Roman" w:cs="Times New Roman"/>
          <w:color w:val="auto"/>
        </w:rPr>
      </w:pPr>
      <w:r w:rsidRPr="00B97D27">
        <w:rPr>
          <w:rFonts w:ascii="Times New Roman" w:hAnsi="Times New Roman" w:cs="Times New Roman"/>
          <w:b/>
          <w:bCs/>
          <w:color w:val="auto"/>
        </w:rPr>
        <w:t>5. Investment &amp; Funding</w:t>
      </w:r>
    </w:p>
    <w:p w:rsidR="00CD2162" w:rsidRPr="00B97D27" w:rsidRDefault="00B97D27">
      <w:pPr>
        <w:pStyle w:val="Heading2"/>
        <w:keepNext/>
        <w:spacing w:before="200" w:after="100"/>
        <w:rPr>
          <w:rFonts w:ascii="Times New Roman" w:hAnsi="Times New Roman" w:cs="Times New Roman"/>
          <w:color w:val="auto"/>
        </w:rPr>
      </w:pPr>
      <w:r w:rsidRPr="00B97D27">
        <w:rPr>
          <w:rFonts w:ascii="Times New Roman" w:hAnsi="Times New Roman" w:cs="Times New Roman"/>
          <w:b/>
          <w:bCs/>
          <w:color w:val="auto"/>
          <w:sz w:val="24"/>
          <w:szCs w:val="24"/>
        </w:rPr>
        <w:t>5.1 Year-0 investment</w:t>
      </w:r>
    </w:p>
    <w:p w:rsidR="00CD2162" w:rsidRPr="00B97D27" w:rsidRDefault="00B97D27">
      <w:pPr>
        <w:spacing w:after="120" w:line="288" w:lineRule="auto"/>
        <w:jc w:val="both"/>
        <w:rPr>
          <w:rFonts w:ascii="Times New Roman" w:hAnsi="Times New Roman" w:cs="Times New Roman"/>
        </w:rPr>
      </w:pPr>
      <w:r w:rsidRPr="00B97D27">
        <w:rPr>
          <w:rFonts w:ascii="Times New Roman" w:hAnsi="Times New Roman" w:cs="Times New Roman"/>
        </w:rPr>
        <w:t>Before the first customer arrives, the project must commit capital to equipment, fit-out, licences, a refundable deposit and an opening cash buffer. These are shown below.</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900"/>
        <w:gridCol w:w="1100"/>
        <w:gridCol w:w="1100"/>
        <w:gridCol w:w="3926"/>
      </w:tblGrid>
      <w:tr w:rsidR="00CD2162" w:rsidRPr="00B97D27">
        <w:trPr>
          <w:cantSplit/>
          <w:tblHeader/>
        </w:trPr>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lastRenderedPageBreak/>
              <w:t>Item</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6"/>
                <w:szCs w:val="16"/>
              </w:rPr>
              <w:t>₹ lakh</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6"/>
                <w:szCs w:val="16"/>
              </w:rPr>
              <w:t>% of total</w:t>
            </w:r>
          </w:p>
        </w:tc>
        <w:tc>
          <w:tcPr>
            <w:tcW w:w="39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Basis</w:t>
            </w:r>
          </w:p>
        </w:tc>
      </w:tr>
      <w:tr w:rsidR="00CD2162" w:rsidRPr="00B97D27">
        <w:trPr>
          <w:cantSplit/>
        </w:trPr>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Kitchen equipment</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8.00</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27.3%</w:t>
            </w:r>
          </w:p>
        </w:tc>
        <w:tc>
          <w:tcPr>
            <w:tcW w:w="39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Coffee machine, grill, refrigeration; typical supplier ranges</w:t>
            </w:r>
          </w:p>
        </w:tc>
      </w:tr>
      <w:tr w:rsidR="00CD2162" w:rsidRPr="00B97D27">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Furniture &amp; fixtures</w:t>
            </w:r>
          </w:p>
        </w:tc>
        <w:tc>
          <w:tcPr>
            <w:tcW w:w="11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3.50</w:t>
            </w:r>
          </w:p>
        </w:tc>
        <w:tc>
          <w:tcPr>
            <w:tcW w:w="11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11.9%</w:t>
            </w:r>
          </w:p>
        </w:tc>
        <w:tc>
          <w:tcPr>
            <w:tcW w:w="39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30 seats plus counters, about ₹11,700 per seat</w:t>
            </w:r>
          </w:p>
        </w:tc>
      </w:tr>
      <w:tr w:rsidR="00CD2162" w:rsidRPr="00B97D27">
        <w:trPr>
          <w:cantSplit/>
        </w:trPr>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Interiors / fit-out</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6.00</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20.5%</w:t>
            </w:r>
          </w:p>
        </w:tc>
        <w:tc>
          <w:tcPr>
            <w:tcW w:w="39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About ₹800 per sq ft for flooring, lighting, signage</w:t>
            </w:r>
          </w:p>
        </w:tc>
      </w:tr>
      <w:tr w:rsidR="00CD2162" w:rsidRPr="00B97D27">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POS, software &amp; CCTV</w:t>
            </w:r>
          </w:p>
        </w:tc>
        <w:tc>
          <w:tcPr>
            <w:tcW w:w="11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0.80</w:t>
            </w:r>
          </w:p>
        </w:tc>
        <w:tc>
          <w:tcPr>
            <w:tcW w:w="11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2.7%</w:t>
            </w:r>
          </w:p>
        </w:tc>
        <w:tc>
          <w:tcPr>
            <w:tcW w:w="39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Billing and security</w:t>
            </w:r>
          </w:p>
        </w:tc>
      </w:tr>
      <w:tr w:rsidR="00CD2162" w:rsidRPr="00B97D27">
        <w:trPr>
          <w:cantSplit/>
        </w:trPr>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Licences &amp; registration</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0.30</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1.0%</w:t>
            </w:r>
          </w:p>
        </w:tc>
        <w:tc>
          <w:tcPr>
            <w:tcW w:w="39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FSSAI, shop and establishment, approvals</w:t>
            </w:r>
          </w:p>
        </w:tc>
      </w:tr>
      <w:tr w:rsidR="00CD2162" w:rsidRPr="00B97D27">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Pre-opening &amp; setup</w:t>
            </w:r>
          </w:p>
        </w:tc>
        <w:tc>
          <w:tcPr>
            <w:tcW w:w="11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1.20</w:t>
            </w:r>
          </w:p>
        </w:tc>
        <w:tc>
          <w:tcPr>
            <w:tcW w:w="11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4.1%</w:t>
            </w:r>
          </w:p>
        </w:tc>
        <w:tc>
          <w:tcPr>
            <w:tcW w:w="39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Training, launch marketing, opening stock</w:t>
            </w:r>
          </w:p>
        </w:tc>
      </w:tr>
      <w:tr w:rsidR="00CD2162" w:rsidRPr="00B97D27">
        <w:trPr>
          <w:cantSplit/>
        </w:trPr>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Contingency (5%)</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0.99</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3.4%</w:t>
            </w:r>
          </w:p>
        </w:tc>
        <w:tc>
          <w:tcPr>
            <w:tcW w:w="39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Allowance for overruns on the six items above</w:t>
            </w:r>
          </w:p>
        </w:tc>
      </w:tr>
      <w:tr w:rsidR="00CD2162" w:rsidRPr="00B97D27">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Fixed assets &amp; pre-operative costs</w:t>
            </w:r>
          </w:p>
        </w:tc>
        <w:tc>
          <w:tcPr>
            <w:tcW w:w="110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20.79</w:t>
            </w:r>
          </w:p>
        </w:tc>
        <w:tc>
          <w:tcPr>
            <w:tcW w:w="110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71.0%</w:t>
            </w:r>
          </w:p>
        </w:tc>
        <w:tc>
          <w:tcPr>
            <w:tcW w:w="3926"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CD2162">
            <w:pPr>
              <w:keepNext/>
              <w:rPr>
                <w:rFonts w:ascii="Times New Roman" w:hAnsi="Times New Roman" w:cs="Times New Roman"/>
              </w:rPr>
            </w:pPr>
          </w:p>
        </w:tc>
      </w:tr>
      <w:tr w:rsidR="00CD2162" w:rsidRPr="00B97D27">
        <w:trPr>
          <w:cantSplit/>
        </w:trPr>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Refundable security deposit</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2.03</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6.9%</w:t>
            </w:r>
          </w:p>
        </w:tc>
        <w:tc>
          <w:tcPr>
            <w:tcW w:w="39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Three months of Year-1 rent; returned at lease end</w:t>
            </w:r>
          </w:p>
        </w:tc>
      </w:tr>
      <w:tr w:rsidR="00CD2162" w:rsidRPr="00B97D27">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Initial working capital (cash buffer)</w:t>
            </w:r>
          </w:p>
        </w:tc>
        <w:tc>
          <w:tcPr>
            <w:tcW w:w="11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6.48</w:t>
            </w:r>
          </w:p>
        </w:tc>
        <w:tc>
          <w:tcPr>
            <w:tcW w:w="11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22.1%</w:t>
            </w:r>
          </w:p>
        </w:tc>
        <w:tc>
          <w:tcPr>
            <w:tcW w:w="39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Two months of Year-1 operating costs</w:t>
            </w:r>
          </w:p>
        </w:tc>
      </w:tr>
      <w:tr w:rsidR="00CD2162" w:rsidRPr="00B97D27">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b/>
                <w:bCs/>
                <w:sz w:val="16"/>
                <w:szCs w:val="16"/>
              </w:rPr>
              <w:t>TOTAL INITIAL INVESTMENT</w:t>
            </w:r>
          </w:p>
        </w:tc>
        <w:tc>
          <w:tcPr>
            <w:tcW w:w="110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b/>
                <w:bCs/>
                <w:sz w:val="16"/>
                <w:szCs w:val="16"/>
              </w:rPr>
              <w:t>29.30</w:t>
            </w:r>
          </w:p>
        </w:tc>
        <w:tc>
          <w:tcPr>
            <w:tcW w:w="110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b/>
                <w:bCs/>
                <w:sz w:val="16"/>
                <w:szCs w:val="16"/>
              </w:rPr>
              <w:t>100.0%</w:t>
            </w:r>
          </w:p>
        </w:tc>
        <w:tc>
          <w:tcPr>
            <w:tcW w:w="3926"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CD2162">
            <w:pPr>
              <w:rPr>
                <w:rFonts w:ascii="Times New Roman" w:hAnsi="Times New Roman" w:cs="Times New Roman"/>
              </w:rPr>
            </w:pPr>
          </w:p>
        </w:tc>
      </w:tr>
    </w:tbl>
    <w:p w:rsidR="00CD2162" w:rsidRPr="00B97D27" w:rsidRDefault="00B97D27">
      <w:pPr>
        <w:spacing w:before="40" w:after="160"/>
        <w:rPr>
          <w:rFonts w:ascii="Times New Roman" w:hAnsi="Times New Roman" w:cs="Times New Roman"/>
        </w:rPr>
      </w:pPr>
      <w:r w:rsidRPr="00B97D27">
        <w:rPr>
          <w:rFonts w:ascii="Times New Roman" w:hAnsi="Times New Roman" w:cs="Times New Roman"/>
          <w:i/>
          <w:iCs/>
          <w:sz w:val="16"/>
          <w:szCs w:val="16"/>
        </w:rPr>
        <w:t>Source: sheet 06_Investment_Funding.</w:t>
      </w:r>
    </w:p>
    <w:p w:rsidR="00CD2162" w:rsidRPr="00B97D27" w:rsidRDefault="00B97D27">
      <w:pPr>
        <w:pStyle w:val="Heading2"/>
        <w:keepNext/>
        <w:spacing w:before="200" w:after="100"/>
        <w:rPr>
          <w:rFonts w:ascii="Times New Roman" w:hAnsi="Times New Roman" w:cs="Times New Roman"/>
          <w:color w:val="auto"/>
        </w:rPr>
      </w:pPr>
      <w:r w:rsidRPr="00B97D27">
        <w:rPr>
          <w:rFonts w:ascii="Times New Roman" w:hAnsi="Times New Roman" w:cs="Times New Roman"/>
          <w:b/>
          <w:bCs/>
          <w:color w:val="auto"/>
          <w:sz w:val="24"/>
          <w:szCs w:val="24"/>
        </w:rPr>
        <w:t>5.2 Why these choices</w:t>
      </w:r>
    </w:p>
    <w:p w:rsidR="00CD2162" w:rsidRPr="00B97D27" w:rsidRDefault="00B97D27">
      <w:pPr>
        <w:pStyle w:val="ListParagraph"/>
        <w:numPr>
          <w:ilvl w:val="0"/>
          <w:numId w:val="2"/>
        </w:numPr>
        <w:spacing w:after="70" w:line="276" w:lineRule="auto"/>
        <w:rPr>
          <w:rFonts w:ascii="Times New Roman" w:hAnsi="Times New Roman" w:cs="Times New Roman"/>
        </w:rPr>
      </w:pPr>
      <w:r w:rsidRPr="00B97D27">
        <w:rPr>
          <w:rFonts w:ascii="Times New Roman" w:hAnsi="Times New Roman" w:cs="Times New Roman"/>
          <w:b/>
          <w:bCs/>
        </w:rPr>
        <w:t>Leased premises, not purchased land or building.</w:t>
      </w:r>
      <w:r w:rsidRPr="00B97D27">
        <w:rPr>
          <w:rFonts w:ascii="Times New Roman" w:hAnsi="Times New Roman" w:cs="Times New Roman"/>
        </w:rPr>
        <w:t xml:space="preserve"> A single-outlet café should not tie up capital in property. Renting keeps the investment at about ₹29 lakh and limits downside; the trade-off is a recurring rent cost.</w:t>
      </w:r>
    </w:p>
    <w:p w:rsidR="00CD2162" w:rsidRPr="00B97D27" w:rsidRDefault="00B97D27">
      <w:pPr>
        <w:pStyle w:val="ListParagraph"/>
        <w:numPr>
          <w:ilvl w:val="0"/>
          <w:numId w:val="2"/>
        </w:numPr>
        <w:spacing w:after="70" w:line="276" w:lineRule="auto"/>
        <w:rPr>
          <w:rFonts w:ascii="Times New Roman" w:hAnsi="Times New Roman" w:cs="Times New Roman"/>
        </w:rPr>
      </w:pPr>
      <w:r w:rsidRPr="00B97D27">
        <w:rPr>
          <w:rFonts w:ascii="Times New Roman" w:hAnsi="Times New Roman" w:cs="Times New Roman"/>
          <w:b/>
          <w:bCs/>
        </w:rPr>
        <w:t>Opening cash buffer from the cost model.</w:t>
      </w:r>
      <w:r w:rsidRPr="00B97D27">
        <w:rPr>
          <w:rFonts w:ascii="Times New Roman" w:hAnsi="Times New Roman" w:cs="Times New Roman"/>
        </w:rPr>
        <w:t xml:space="preserve"> Working capital is not chosen arbitrarily: it equals two months of Year-1 operating costs, covering the period while sales ramp up. This is why Year-1 cash stays positive in the balance sheet.</w:t>
      </w:r>
    </w:p>
    <w:p w:rsidR="00CD2162" w:rsidRPr="00B97D27" w:rsidRDefault="00B97D27">
      <w:pPr>
        <w:pStyle w:val="ListParagraph"/>
        <w:numPr>
          <w:ilvl w:val="0"/>
          <w:numId w:val="2"/>
        </w:numPr>
        <w:spacing w:after="70" w:line="276" w:lineRule="auto"/>
        <w:rPr>
          <w:rFonts w:ascii="Times New Roman" w:hAnsi="Times New Roman" w:cs="Times New Roman"/>
        </w:rPr>
      </w:pPr>
      <w:r w:rsidRPr="00B97D27">
        <w:rPr>
          <w:rFonts w:ascii="Times New Roman" w:hAnsi="Times New Roman" w:cs="Times New Roman"/>
          <w:b/>
          <w:bCs/>
        </w:rPr>
        <w:t>Security deposit treated as an investment that comes back.</w:t>
      </w:r>
      <w:r w:rsidRPr="00B97D27">
        <w:rPr>
          <w:rFonts w:ascii="Times New Roman" w:hAnsi="Times New Roman" w:cs="Times New Roman"/>
        </w:rPr>
        <w:t xml:space="preserve"> It is a real Year-0 cash outflow, but refunded at the end of Year 5, so it appears as a recovery in the final year.</w:t>
      </w:r>
    </w:p>
    <w:p w:rsidR="00CD2162" w:rsidRPr="00B97D27" w:rsidRDefault="00B97D27">
      <w:pPr>
        <w:pStyle w:val="ListParagraph"/>
        <w:numPr>
          <w:ilvl w:val="0"/>
          <w:numId w:val="2"/>
        </w:numPr>
        <w:spacing w:after="70" w:line="276" w:lineRule="auto"/>
        <w:rPr>
          <w:rFonts w:ascii="Times New Roman" w:hAnsi="Times New Roman" w:cs="Times New Roman"/>
        </w:rPr>
      </w:pPr>
      <w:r w:rsidRPr="00B97D27">
        <w:rPr>
          <w:rFonts w:ascii="Times New Roman" w:hAnsi="Times New Roman" w:cs="Times New Roman"/>
          <w:b/>
          <w:bCs/>
        </w:rPr>
        <w:t>No government subsidy assumed.</w:t>
      </w:r>
      <w:r w:rsidRPr="00B97D27">
        <w:rPr>
          <w:rFonts w:ascii="Times New Roman" w:hAnsi="Times New Roman" w:cs="Times New Roman"/>
        </w:rPr>
        <w:t xml:space="preserve"> Counting uncertain support would flatter the result. Any subsidy found later is upside.</w:t>
      </w:r>
    </w:p>
    <w:p w:rsidR="00CD2162" w:rsidRPr="00B97D27" w:rsidRDefault="00B97D27">
      <w:pPr>
        <w:pStyle w:val="Heading2"/>
        <w:keepNext/>
        <w:spacing w:before="200" w:after="100"/>
        <w:rPr>
          <w:rFonts w:ascii="Times New Roman" w:hAnsi="Times New Roman" w:cs="Times New Roman"/>
          <w:color w:val="auto"/>
        </w:rPr>
      </w:pPr>
      <w:r w:rsidRPr="00B97D27">
        <w:rPr>
          <w:rFonts w:ascii="Times New Roman" w:hAnsi="Times New Roman" w:cs="Times New Roman"/>
          <w:b/>
          <w:bCs/>
          <w:color w:val="auto"/>
          <w:sz w:val="24"/>
          <w:szCs w:val="24"/>
        </w:rPr>
        <w:t>5.3 Funding</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400"/>
        <w:gridCol w:w="1300"/>
        <w:gridCol w:w="1100"/>
        <w:gridCol w:w="4226"/>
      </w:tblGrid>
      <w:tr w:rsidR="00CD2162" w:rsidRPr="00B97D27">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7"/>
                <w:szCs w:val="17"/>
              </w:rPr>
              <w:t>Source of funds</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7"/>
                <w:szCs w:val="17"/>
              </w:rPr>
              <w:t>₹ lakh</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7"/>
                <w:szCs w:val="17"/>
              </w:rPr>
              <w:t>Share</w:t>
            </w:r>
          </w:p>
        </w:tc>
        <w:tc>
          <w:tcPr>
            <w:tcW w:w="42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7"/>
                <w:szCs w:val="17"/>
              </w:rPr>
              <w:t>Basis</w:t>
            </w:r>
          </w:p>
        </w:tc>
      </w:tr>
      <w:tr w:rsidR="00CD2162" w:rsidRPr="00B97D2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Bank term loan</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14.65</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50%</w:t>
            </w:r>
          </w:p>
        </w:tc>
        <w:tc>
          <w:tcPr>
            <w:tcW w:w="42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10% interest, 5 years, equal yearly principal repayments</w:t>
            </w:r>
          </w:p>
        </w:tc>
      </w:tr>
      <w:tr w:rsidR="00CD2162" w:rsidRPr="00B97D2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Promoter equity</w:t>
            </w:r>
          </w:p>
        </w:tc>
        <w:tc>
          <w:tcPr>
            <w:tcW w:w="13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14.65</w:t>
            </w:r>
          </w:p>
        </w:tc>
        <w:tc>
          <w:tcPr>
            <w:tcW w:w="11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50%</w:t>
            </w:r>
          </w:p>
        </w:tc>
        <w:tc>
          <w:tcPr>
            <w:tcW w:w="42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Balancing amount</w:t>
            </w:r>
          </w:p>
        </w:tc>
      </w:tr>
      <w:tr w:rsidR="00CD2162" w:rsidRPr="00B97D2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b/>
                <w:bCs/>
                <w:sz w:val="17"/>
                <w:szCs w:val="17"/>
              </w:rPr>
              <w:t>Total funding</w:t>
            </w:r>
          </w:p>
        </w:tc>
        <w:tc>
          <w:tcPr>
            <w:tcW w:w="130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b/>
                <w:bCs/>
                <w:sz w:val="17"/>
                <w:szCs w:val="17"/>
              </w:rPr>
              <w:t>29.30</w:t>
            </w:r>
          </w:p>
        </w:tc>
        <w:tc>
          <w:tcPr>
            <w:tcW w:w="110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b/>
                <w:bCs/>
                <w:sz w:val="17"/>
                <w:szCs w:val="17"/>
              </w:rPr>
              <w:t>100%</w:t>
            </w:r>
          </w:p>
        </w:tc>
        <w:tc>
          <w:tcPr>
            <w:tcW w:w="4226"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b/>
                <w:bCs/>
                <w:sz w:val="17"/>
                <w:szCs w:val="17"/>
              </w:rPr>
              <w:t>Equals total investment (check passes)</w:t>
            </w:r>
          </w:p>
        </w:tc>
      </w:tr>
    </w:tbl>
    <w:p w:rsidR="00CD2162" w:rsidRPr="00B97D27" w:rsidRDefault="00B97D27">
      <w:pPr>
        <w:spacing w:before="40" w:after="160"/>
        <w:rPr>
          <w:rFonts w:ascii="Times New Roman" w:hAnsi="Times New Roman" w:cs="Times New Roman"/>
        </w:rPr>
      </w:pPr>
      <w:r w:rsidRPr="00B97D27">
        <w:rPr>
          <w:rFonts w:ascii="Times New Roman" w:hAnsi="Times New Roman" w:cs="Times New Roman"/>
          <w:i/>
          <w:iCs/>
          <w:sz w:val="16"/>
          <w:szCs w:val="16"/>
        </w:rPr>
        <w:t>Source: sheets 06_Investment_Funding and 10_Debt_Schedule.</w:t>
      </w:r>
    </w:p>
    <w:p w:rsidR="00CD2162" w:rsidRPr="00B97D27" w:rsidRDefault="00B97D27">
      <w:pPr>
        <w:spacing w:after="120" w:line="288" w:lineRule="auto"/>
        <w:jc w:val="both"/>
        <w:rPr>
          <w:rFonts w:ascii="Times New Roman" w:hAnsi="Times New Roman" w:cs="Times New Roman"/>
        </w:rPr>
      </w:pPr>
      <w:r w:rsidRPr="00B97D27">
        <w:rPr>
          <w:rFonts w:ascii="Times New Roman" w:hAnsi="Times New Roman" w:cs="Times New Roman"/>
        </w:rPr>
        <w:t xml:space="preserve">We chose a </w:t>
      </w:r>
      <w:r w:rsidRPr="00B97D27">
        <w:rPr>
          <w:rFonts w:ascii="Times New Roman" w:hAnsi="Times New Roman" w:cs="Times New Roman"/>
          <w:b/>
          <w:bCs/>
        </w:rPr>
        <w:t>50:50 mix</w:t>
      </w:r>
      <w:r w:rsidRPr="00B97D27">
        <w:rPr>
          <w:rFonts w:ascii="Times New Roman" w:hAnsi="Times New Roman" w:cs="Times New Roman"/>
        </w:rPr>
        <w:t xml:space="preserve"> because a lender will typically want meaningful owner commitment in a new, single-outlet business, while a very high debt share would add interest pressure in the loss-making early period. Interest of 10% reflects the RBI repo rate of 5.25% plus an estimated lender spread of about 4.75 percentage points. Loan interest in Year 1 is ₹1.46 lakh, which is one reason the café reports an accounting loss even though it is roughly break-even operationally.</w:t>
      </w:r>
    </w:p>
    <w:p w:rsidR="00CD2162" w:rsidRPr="00B97D27" w:rsidRDefault="00B97D27">
      <w:pPr>
        <w:pStyle w:val="Heading2"/>
        <w:keepNext/>
        <w:spacing w:before="200" w:after="100"/>
        <w:rPr>
          <w:rFonts w:ascii="Times New Roman" w:hAnsi="Times New Roman" w:cs="Times New Roman"/>
          <w:color w:val="auto"/>
        </w:rPr>
      </w:pPr>
      <w:r w:rsidRPr="00B97D27">
        <w:rPr>
          <w:rFonts w:ascii="Times New Roman" w:hAnsi="Times New Roman" w:cs="Times New Roman"/>
          <w:b/>
          <w:bCs/>
          <w:color w:val="auto"/>
          <w:sz w:val="24"/>
          <w:szCs w:val="24"/>
        </w:rPr>
        <w:t>5.4 Depreciation</w:t>
      </w:r>
    </w:p>
    <w:p w:rsidR="00CD2162" w:rsidRPr="00B97D27" w:rsidRDefault="00B97D27">
      <w:pPr>
        <w:spacing w:after="120" w:line="288" w:lineRule="auto"/>
        <w:jc w:val="both"/>
        <w:rPr>
          <w:rFonts w:ascii="Times New Roman" w:hAnsi="Times New Roman" w:cs="Times New Roman"/>
        </w:rPr>
      </w:pPr>
      <w:r w:rsidRPr="00B97D27">
        <w:rPr>
          <w:rFonts w:ascii="Times New Roman" w:hAnsi="Times New Roman" w:cs="Times New Roman"/>
        </w:rPr>
        <w:t>Assets are depreciated on a straight-line basis: kitchen equipment and furniture over 8 years, interiors over 5 years (the assumed lease term), POS and technology over 4 years, and pre-operative expenses over 5 years. Annual depreciation and amortisation is about ₹3.34 lakh. This is a non-cash charge: it lowers profit and tax but is added back in the cash flow statement.</w:t>
      </w:r>
    </w:p>
    <w:p w:rsidR="00CD2162" w:rsidRPr="00B97D27" w:rsidRDefault="00B97D27">
      <w:pPr>
        <w:pStyle w:val="Heading1"/>
        <w:keepNext/>
        <w:pBdr>
          <w:bottom w:val="single" w:sz="8" w:space="4" w:color="1F3864"/>
        </w:pBdr>
        <w:spacing w:before="240" w:after="160"/>
        <w:rPr>
          <w:rFonts w:ascii="Times New Roman" w:hAnsi="Times New Roman" w:cs="Times New Roman"/>
          <w:color w:val="auto"/>
        </w:rPr>
      </w:pPr>
      <w:r w:rsidRPr="00B97D27">
        <w:rPr>
          <w:rFonts w:ascii="Times New Roman" w:hAnsi="Times New Roman" w:cs="Times New Roman"/>
          <w:b/>
          <w:bCs/>
          <w:color w:val="auto"/>
        </w:rPr>
        <w:lastRenderedPageBreak/>
        <w:t>6. Assumptions and Key Modelling Decisions</w:t>
      </w:r>
    </w:p>
    <w:p w:rsidR="00CD2162" w:rsidRPr="00B97D27" w:rsidRDefault="00B97D27">
      <w:pPr>
        <w:pStyle w:val="Heading2"/>
        <w:keepNext/>
        <w:spacing w:before="200" w:after="100"/>
        <w:rPr>
          <w:rFonts w:ascii="Times New Roman" w:hAnsi="Times New Roman" w:cs="Times New Roman"/>
          <w:color w:val="auto"/>
        </w:rPr>
      </w:pPr>
      <w:r w:rsidRPr="00B97D27">
        <w:rPr>
          <w:rFonts w:ascii="Times New Roman" w:hAnsi="Times New Roman" w:cs="Times New Roman"/>
          <w:b/>
          <w:bCs/>
          <w:color w:val="auto"/>
          <w:sz w:val="24"/>
          <w:szCs w:val="24"/>
        </w:rPr>
        <w:t>6.1 Most important assumptions</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300"/>
        <w:gridCol w:w="2000"/>
        <w:gridCol w:w="2126"/>
        <w:gridCol w:w="2600"/>
      </w:tblGrid>
      <w:tr w:rsidR="00CD2162" w:rsidRPr="00B97D27">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Assumption</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Value</w:t>
            </w:r>
          </w:p>
        </w:tc>
        <w:tc>
          <w:tcPr>
            <w:tcW w:w="21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Status</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If it is wrong</w:t>
            </w:r>
          </w:p>
        </w:tc>
      </w:tr>
      <w:tr w:rsidR="00CD2162" w:rsidRPr="00B97D2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Seats / days open</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30 seats; 330 days</w:t>
            </w:r>
          </w:p>
        </w:tc>
        <w:tc>
          <w:tcPr>
            <w:tcW w:w="21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Estimate</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Sets the capacity ceiling on customers</w:t>
            </w:r>
          </w:p>
        </w:tc>
      </w:tr>
      <w:tr w:rsidR="00CD2162" w:rsidRPr="00B97D2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Average bill (Year 1)</w:t>
            </w:r>
          </w:p>
        </w:tc>
        <w:tc>
          <w:tcPr>
            <w:tcW w:w="20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₹160, +5% a year</w:t>
            </w:r>
          </w:p>
        </w:tc>
        <w:tc>
          <w:tcPr>
            <w:tcW w:w="21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Estimate / partly verified</w:t>
            </w:r>
          </w:p>
        </w:tc>
        <w:tc>
          <w:tcPr>
            <w:tcW w:w="26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Most sensitive input in the model</w:t>
            </w:r>
          </w:p>
        </w:tc>
      </w:tr>
      <w:tr w:rsidR="00CD2162" w:rsidRPr="00B97D2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Seat turns per day</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2.5 rising to 4.0</w:t>
            </w:r>
          </w:p>
        </w:tc>
        <w:tc>
          <w:tcPr>
            <w:tcW w:w="21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Estimate</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Revenue moves in proportion</w:t>
            </w:r>
          </w:p>
        </w:tc>
      </w:tr>
      <w:tr w:rsidR="00CD2162" w:rsidRPr="00B97D2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Variable cost</w:t>
            </w:r>
          </w:p>
        </w:tc>
        <w:tc>
          <w:tcPr>
            <w:tcW w:w="20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36% of sales</w:t>
            </w:r>
          </w:p>
        </w:tc>
        <w:tc>
          <w:tcPr>
            <w:tcW w:w="21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Estimate (benchmark)</w:t>
            </w:r>
          </w:p>
        </w:tc>
        <w:tc>
          <w:tcPr>
            <w:tcW w:w="26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Each 1 point is 1% of sales in profit</w:t>
            </w:r>
          </w:p>
        </w:tc>
      </w:tr>
      <w:tr w:rsidR="00CD2162" w:rsidRPr="00B97D2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Staff</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5 people, ₹90,500 per month</w:t>
            </w:r>
          </w:p>
        </w:tc>
        <w:tc>
          <w:tcPr>
            <w:tcW w:w="21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Floor verified; level estimated</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Largest fixed cost</w:t>
            </w:r>
          </w:p>
        </w:tc>
      </w:tr>
      <w:tr w:rsidR="00CD2162" w:rsidRPr="00B97D2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Rent</w:t>
            </w:r>
          </w:p>
        </w:tc>
        <w:tc>
          <w:tcPr>
            <w:tcW w:w="20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₹90/sq ft × 750 sq ft</w:t>
            </w:r>
          </w:p>
        </w:tc>
        <w:tc>
          <w:tcPr>
            <w:tcW w:w="21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Estimate</w:t>
            </w:r>
          </w:p>
        </w:tc>
        <w:tc>
          <w:tcPr>
            <w:tcW w:w="26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About a quarter of fixed costs</w:t>
            </w:r>
          </w:p>
        </w:tc>
      </w:tr>
      <w:tr w:rsidR="00CD2162" w:rsidRPr="00B97D2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Electricity tariff</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₹7.2/kWh</w:t>
            </w:r>
          </w:p>
        </w:tc>
        <w:tc>
          <w:tcPr>
            <w:tcW w:w="21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Verified range</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Small effect</w:t>
            </w:r>
          </w:p>
        </w:tc>
      </w:tr>
      <w:tr w:rsidR="00CD2162" w:rsidRPr="00B97D2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Capex (equipment, furniture, fit-out, POS)</w:t>
            </w:r>
          </w:p>
        </w:tc>
        <w:tc>
          <w:tcPr>
            <w:tcW w:w="20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₹18.3 lakh before extras</w:t>
            </w:r>
          </w:p>
        </w:tc>
        <w:tc>
          <w:tcPr>
            <w:tcW w:w="21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Estimate</w:t>
            </w:r>
          </w:p>
        </w:tc>
        <w:tc>
          <w:tcPr>
            <w:tcW w:w="26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Changes investment and depreciation</w:t>
            </w:r>
          </w:p>
        </w:tc>
      </w:tr>
      <w:tr w:rsidR="00CD2162" w:rsidRPr="00B97D2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Corporate tax</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25.17%, no loss carry-forward</w:t>
            </w:r>
          </w:p>
        </w:tc>
        <w:tc>
          <w:tcPr>
            <w:tcW w:w="21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Statutory / conservative</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Only matters once profitable</w:t>
            </w:r>
          </w:p>
        </w:tc>
      </w:tr>
      <w:tr w:rsidR="00CD2162" w:rsidRPr="00B97D2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Financing</w:t>
            </w:r>
          </w:p>
        </w:tc>
        <w:tc>
          <w:tcPr>
            <w:tcW w:w="20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50% debt at 10%, 5 years</w:t>
            </w:r>
          </w:p>
        </w:tc>
        <w:tc>
          <w:tcPr>
            <w:tcW w:w="21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Repo verified; spread estimated</w:t>
            </w:r>
          </w:p>
        </w:tc>
        <w:tc>
          <w:tcPr>
            <w:tcW w:w="26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Affects net profit, not Project FCF</w:t>
            </w:r>
          </w:p>
        </w:tc>
      </w:tr>
      <w:tr w:rsidR="00CD2162" w:rsidRPr="00B97D2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6"/>
                <w:szCs w:val="16"/>
              </w:rPr>
              <w:t>Discount rate (WACC)</w:t>
            </w:r>
          </w:p>
        </w:tc>
        <w:tc>
          <w:tcPr>
            <w:tcW w:w="2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6"/>
                <w:szCs w:val="16"/>
              </w:rPr>
              <w:t>13.29%</w:t>
            </w:r>
          </w:p>
        </w:tc>
        <w:tc>
          <w:tcPr>
            <w:tcW w:w="21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6"/>
                <w:szCs w:val="16"/>
              </w:rPr>
              <w:t>Built from verified and estimated inputs</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6"/>
                <w:szCs w:val="16"/>
              </w:rPr>
              <w:t>Higher rate lowers NPV</w:t>
            </w:r>
          </w:p>
        </w:tc>
      </w:tr>
    </w:tbl>
    <w:p w:rsidR="00CD2162" w:rsidRPr="00B97D27" w:rsidRDefault="00B97D27">
      <w:pPr>
        <w:spacing w:before="40" w:after="160"/>
        <w:rPr>
          <w:rFonts w:ascii="Times New Roman" w:hAnsi="Times New Roman" w:cs="Times New Roman"/>
        </w:rPr>
      </w:pPr>
      <w:r w:rsidRPr="00B97D27">
        <w:rPr>
          <w:rFonts w:ascii="Times New Roman" w:hAnsi="Times New Roman" w:cs="Times New Roman"/>
          <w:i/>
          <w:iCs/>
          <w:sz w:val="16"/>
          <w:szCs w:val="16"/>
        </w:rPr>
        <w:t>Source: sheet 04_Assumptions (the full register of every input, with source ID, rationale and "if wrong" note).</w:t>
      </w:r>
    </w:p>
    <w:p w:rsidR="00CD2162" w:rsidRPr="00B97D27" w:rsidRDefault="00B97D27">
      <w:pPr>
        <w:pStyle w:val="Heading2"/>
        <w:keepNext/>
        <w:spacing w:before="200" w:after="100"/>
        <w:rPr>
          <w:rFonts w:ascii="Times New Roman" w:hAnsi="Times New Roman" w:cs="Times New Roman"/>
          <w:color w:val="auto"/>
        </w:rPr>
      </w:pPr>
      <w:r w:rsidRPr="00B97D27">
        <w:rPr>
          <w:rFonts w:ascii="Times New Roman" w:hAnsi="Times New Roman" w:cs="Times New Roman"/>
          <w:b/>
          <w:bCs/>
          <w:color w:val="auto"/>
          <w:sz w:val="24"/>
          <w:szCs w:val="24"/>
        </w:rPr>
        <w:t>6.2 The discount rate</w:t>
      </w:r>
    </w:p>
    <w:p w:rsidR="00CD2162" w:rsidRPr="00B97D27" w:rsidRDefault="00B97D27">
      <w:pPr>
        <w:spacing w:after="120" w:line="288" w:lineRule="auto"/>
        <w:jc w:val="both"/>
        <w:rPr>
          <w:rFonts w:ascii="Times New Roman" w:hAnsi="Times New Roman" w:cs="Times New Roman"/>
        </w:rPr>
      </w:pPr>
      <w:r w:rsidRPr="00B97D27">
        <w:rPr>
          <w:rFonts w:ascii="Times New Roman" w:hAnsi="Times New Roman" w:cs="Times New Roman"/>
        </w:rPr>
        <w:t xml:space="preserve">The required return is the minimum yearly return the project must earn to be worth the risk. We built it as a weighted average cost of capital (WACC). Cost of equity is the risk-free rate (7.1%, the 10-year government bond yield) plus beta (1.0) times an equity risk premium (7%) plus a 5% premium for being a new, unlisted single-outlet business, giving </w:t>
      </w:r>
      <w:r w:rsidRPr="00B97D27">
        <w:rPr>
          <w:rFonts w:ascii="Times New Roman" w:hAnsi="Times New Roman" w:cs="Times New Roman"/>
          <w:b/>
          <w:bCs/>
        </w:rPr>
        <w:t>19.1%</w:t>
      </w:r>
      <w:r w:rsidRPr="00B97D27">
        <w:rPr>
          <w:rFonts w:ascii="Times New Roman" w:hAnsi="Times New Roman" w:cs="Times New Roman"/>
        </w:rPr>
        <w:t xml:space="preserve">. The after-tax cost of debt is 10% × (1 − 25.17%) = </w:t>
      </w:r>
      <w:r w:rsidRPr="00B97D27">
        <w:rPr>
          <w:rFonts w:ascii="Times New Roman" w:hAnsi="Times New Roman" w:cs="Times New Roman"/>
          <w:b/>
          <w:bCs/>
        </w:rPr>
        <w:t>7.48%</w:t>
      </w:r>
      <w:r w:rsidRPr="00B97D27">
        <w:rPr>
          <w:rFonts w:ascii="Times New Roman" w:hAnsi="Times New Roman" w:cs="Times New Roman"/>
        </w:rPr>
        <w:t xml:space="preserve">. With a 50:50 mix the WACC is </w:t>
      </w:r>
      <w:r w:rsidRPr="00B97D27">
        <w:rPr>
          <w:rFonts w:ascii="Times New Roman" w:hAnsi="Times New Roman" w:cs="Times New Roman"/>
          <w:b/>
          <w:bCs/>
        </w:rPr>
        <w:t>13.29%</w:t>
      </w:r>
      <w:r w:rsidRPr="00B97D27">
        <w:rPr>
          <w:rFonts w:ascii="Times New Roman" w:hAnsi="Times New Roman" w:cs="Times New Roman"/>
        </w:rPr>
        <w:t>. The risk-free rate is verified; beta, the equity premium and the start-up premium are judgements, so we also show how NPV changes if the rate moves (Section 10).</w:t>
      </w:r>
    </w:p>
    <w:p w:rsidR="00CD2162" w:rsidRPr="00B97D27" w:rsidRDefault="00B97D27">
      <w:pPr>
        <w:pStyle w:val="Heading2"/>
        <w:keepNext/>
        <w:spacing w:before="200" w:after="100"/>
        <w:rPr>
          <w:rFonts w:ascii="Times New Roman" w:hAnsi="Times New Roman" w:cs="Times New Roman"/>
          <w:color w:val="auto"/>
        </w:rPr>
      </w:pPr>
      <w:r w:rsidRPr="00B97D27">
        <w:rPr>
          <w:rFonts w:ascii="Times New Roman" w:hAnsi="Times New Roman" w:cs="Times New Roman"/>
          <w:b/>
          <w:bCs/>
          <w:color w:val="auto"/>
          <w:sz w:val="24"/>
          <w:szCs w:val="24"/>
        </w:rPr>
        <w:t>6.3 Decision log: what we chose and why</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500"/>
        <w:gridCol w:w="2300"/>
        <w:gridCol w:w="2900"/>
        <w:gridCol w:w="2326"/>
      </w:tblGrid>
      <w:tr w:rsidR="00CD2162" w:rsidRPr="00B97D27">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Decision</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What we chose</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Why</w:t>
            </w:r>
          </w:p>
        </w:tc>
        <w:tc>
          <w:tcPr>
            <w:tcW w:w="23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Alternative rejected</w:t>
            </w:r>
          </w:p>
        </w:tc>
      </w:tr>
      <w:tr w:rsidR="00CD2162" w:rsidRPr="00B97D2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Forecast method</w:t>
            </w:r>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Capacity (seats × turns × bill)</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No sales history; physically bounded; testable</w:t>
            </w:r>
          </w:p>
        </w:tc>
        <w:tc>
          <w:tcPr>
            <w:tcW w:w="23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Typing a sales growth rate</w:t>
            </w:r>
          </w:p>
        </w:tc>
      </w:tr>
      <w:tr w:rsidR="00CD2162" w:rsidRPr="00B97D2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Project cash flow</w:t>
            </w:r>
          </w:p>
        </w:tc>
        <w:tc>
          <w:tcPr>
            <w:tcW w:w="23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Starts from EBIT; no interest or loan flows</w:t>
            </w:r>
          </w:p>
        </w:tc>
        <w:tc>
          <w:tcPr>
            <w:tcW w:w="29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Judges the café itself; financing cost is in WACC</w:t>
            </w:r>
          </w:p>
        </w:tc>
        <w:tc>
          <w:tcPr>
            <w:tcW w:w="23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Using net profit (double counts financing)</w:t>
            </w:r>
          </w:p>
        </w:tc>
      </w:tr>
      <w:tr w:rsidR="00CD2162" w:rsidRPr="00B97D2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Tax on losses</w:t>
            </w:r>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Zero tax in loss years; no carry-forward</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Conservative and simple</w:t>
            </w:r>
          </w:p>
        </w:tc>
        <w:tc>
          <w:tcPr>
            <w:tcW w:w="23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Carrying losses forward to cut later tax</w:t>
            </w:r>
          </w:p>
        </w:tc>
      </w:tr>
      <w:tr w:rsidR="00CD2162" w:rsidRPr="00B97D2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Premises</w:t>
            </w:r>
          </w:p>
        </w:tc>
        <w:tc>
          <w:tcPr>
            <w:tcW w:w="23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Leased 750 sq ft, 5-year horizon</w:t>
            </w:r>
          </w:p>
        </w:tc>
        <w:tc>
          <w:tcPr>
            <w:tcW w:w="29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Limits capital at risk</w:t>
            </w:r>
          </w:p>
        </w:tc>
        <w:tc>
          <w:tcPr>
            <w:tcW w:w="23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Buying property</w:t>
            </w:r>
          </w:p>
        </w:tc>
      </w:tr>
      <w:tr w:rsidR="00CD2162" w:rsidRPr="00B97D2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Subsidies</w:t>
            </w:r>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None assumed</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Avoids counting uncertain support</w:t>
            </w:r>
          </w:p>
        </w:tc>
        <w:tc>
          <w:tcPr>
            <w:tcW w:w="23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Including a grant</w:t>
            </w:r>
          </w:p>
        </w:tc>
      </w:tr>
      <w:tr w:rsidR="00CD2162" w:rsidRPr="00B97D2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Terminal value</w:t>
            </w:r>
          </w:p>
        </w:tc>
        <w:tc>
          <w:tcPr>
            <w:tcW w:w="23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Resale 25% of book value, plus deposit and buffer returned</w:t>
            </w:r>
          </w:p>
        </w:tc>
        <w:tc>
          <w:tcPr>
            <w:tcW w:w="29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Conservative; returns only what is realistic</w:t>
            </w:r>
          </w:p>
        </w:tc>
        <w:tc>
          <w:tcPr>
            <w:tcW w:w="23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Perpetuity value or resale at book value</w:t>
            </w:r>
          </w:p>
        </w:tc>
      </w:tr>
      <w:tr w:rsidR="00CD2162" w:rsidRPr="00B97D2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6"/>
                <w:szCs w:val="16"/>
              </w:rPr>
              <w:t>Decision rule</w:t>
            </w:r>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6"/>
                <w:szCs w:val="16"/>
              </w:rPr>
              <w:t>Invest only if NPV&gt;0, IRR&gt;WACC and pessimistic NPV&gt;0</w:t>
            </w:r>
          </w:p>
        </w:tc>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6"/>
                <w:szCs w:val="16"/>
              </w:rPr>
              <w:t>Considers downside, not only the base case</w:t>
            </w:r>
          </w:p>
        </w:tc>
        <w:tc>
          <w:tcPr>
            <w:tcW w:w="23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6"/>
                <w:szCs w:val="16"/>
              </w:rPr>
              <w:t>Deciding on IRR alone</w:t>
            </w:r>
          </w:p>
        </w:tc>
      </w:tr>
    </w:tbl>
    <w:p w:rsidR="00CD2162" w:rsidRPr="00B97D27" w:rsidRDefault="00B97D27">
      <w:pPr>
        <w:spacing w:before="40" w:after="160"/>
        <w:rPr>
          <w:rFonts w:ascii="Times New Roman" w:hAnsi="Times New Roman" w:cs="Times New Roman"/>
        </w:rPr>
      </w:pPr>
      <w:r w:rsidRPr="00B97D27">
        <w:rPr>
          <w:rFonts w:ascii="Times New Roman" w:hAnsi="Times New Roman" w:cs="Times New Roman"/>
          <w:i/>
          <w:iCs/>
          <w:sz w:val="16"/>
          <w:szCs w:val="16"/>
        </w:rPr>
        <w:t>Source: modelling choices documented across sheets 04, 09, 15 and 16.</w:t>
      </w:r>
    </w:p>
    <w:p w:rsidR="00CD2162" w:rsidRPr="00B97D27" w:rsidRDefault="00B97D27">
      <w:pPr>
        <w:pStyle w:val="Heading1"/>
        <w:keepNext/>
        <w:pBdr>
          <w:bottom w:val="single" w:sz="8" w:space="4" w:color="1F3864"/>
        </w:pBdr>
        <w:spacing w:before="240" w:after="160"/>
        <w:rPr>
          <w:rFonts w:ascii="Times New Roman" w:hAnsi="Times New Roman" w:cs="Times New Roman"/>
          <w:color w:val="auto"/>
        </w:rPr>
      </w:pPr>
      <w:r w:rsidRPr="00B97D27">
        <w:rPr>
          <w:rFonts w:ascii="Times New Roman" w:hAnsi="Times New Roman" w:cs="Times New Roman"/>
          <w:b/>
          <w:bCs/>
          <w:color w:val="auto"/>
        </w:rPr>
        <w:lastRenderedPageBreak/>
        <w:t>7. Financial Forecast</w:t>
      </w:r>
    </w:p>
    <w:p w:rsidR="00CD2162" w:rsidRPr="00B97D27" w:rsidRDefault="00B97D27">
      <w:pPr>
        <w:pStyle w:val="Heading2"/>
        <w:keepNext/>
        <w:spacing w:before="200" w:after="100"/>
        <w:rPr>
          <w:rFonts w:ascii="Times New Roman" w:hAnsi="Times New Roman" w:cs="Times New Roman"/>
          <w:color w:val="auto"/>
        </w:rPr>
      </w:pPr>
      <w:r w:rsidRPr="00B97D27">
        <w:rPr>
          <w:rFonts w:ascii="Times New Roman" w:hAnsi="Times New Roman" w:cs="Times New Roman"/>
          <w:b/>
          <w:bCs/>
          <w:color w:val="auto"/>
          <w:sz w:val="24"/>
          <w:szCs w:val="24"/>
        </w:rPr>
        <w:t>7.1 Projected income statement</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226"/>
        <w:gridCol w:w="1160"/>
        <w:gridCol w:w="1160"/>
        <w:gridCol w:w="1160"/>
        <w:gridCol w:w="1160"/>
        <w:gridCol w:w="1160"/>
      </w:tblGrid>
      <w:tr w:rsidR="00CD2162" w:rsidRPr="00B97D27">
        <w:trPr>
          <w:cantSplit/>
          <w:tblHeader/>
        </w:trPr>
        <w:tc>
          <w:tcPr>
            <w:tcW w:w="32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7"/>
                <w:szCs w:val="17"/>
              </w:rPr>
              <w:t>₹ lakh</w:t>
            </w:r>
          </w:p>
        </w:tc>
        <w:tc>
          <w:tcPr>
            <w:tcW w:w="11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7"/>
                <w:szCs w:val="17"/>
              </w:rPr>
              <w:t>Year 1</w:t>
            </w:r>
          </w:p>
        </w:tc>
        <w:tc>
          <w:tcPr>
            <w:tcW w:w="11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7"/>
                <w:szCs w:val="17"/>
              </w:rPr>
              <w:t>Year 2</w:t>
            </w:r>
          </w:p>
        </w:tc>
        <w:tc>
          <w:tcPr>
            <w:tcW w:w="11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7"/>
                <w:szCs w:val="17"/>
              </w:rPr>
              <w:t>Year 3</w:t>
            </w:r>
          </w:p>
        </w:tc>
        <w:tc>
          <w:tcPr>
            <w:tcW w:w="11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7"/>
                <w:szCs w:val="17"/>
              </w:rPr>
              <w:t>Year 4</w:t>
            </w:r>
          </w:p>
        </w:tc>
        <w:tc>
          <w:tcPr>
            <w:tcW w:w="11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7"/>
                <w:szCs w:val="17"/>
              </w:rPr>
              <w:t>Year 5</w:t>
            </w:r>
          </w:p>
        </w:tc>
      </w:tr>
      <w:tr w:rsidR="00CD2162" w:rsidRPr="00B97D27">
        <w:trPr>
          <w:cantSplit/>
        </w:trPr>
        <w:tc>
          <w:tcPr>
            <w:tcW w:w="3226"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7"/>
                <w:szCs w:val="17"/>
              </w:rPr>
              <w:t>Revenue</w:t>
            </w:r>
          </w:p>
        </w:tc>
        <w:tc>
          <w:tcPr>
            <w:tcW w:w="116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7"/>
                <w:szCs w:val="17"/>
              </w:rPr>
              <w:t>39.60</w:t>
            </w:r>
          </w:p>
        </w:tc>
        <w:tc>
          <w:tcPr>
            <w:tcW w:w="116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7"/>
                <w:szCs w:val="17"/>
              </w:rPr>
              <w:t>49.90</w:t>
            </w:r>
          </w:p>
        </w:tc>
        <w:tc>
          <w:tcPr>
            <w:tcW w:w="116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7"/>
                <w:szCs w:val="17"/>
              </w:rPr>
              <w:t>61.12</w:t>
            </w:r>
          </w:p>
        </w:tc>
        <w:tc>
          <w:tcPr>
            <w:tcW w:w="116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7"/>
                <w:szCs w:val="17"/>
              </w:rPr>
              <w:t>69.68</w:t>
            </w:r>
          </w:p>
        </w:tc>
        <w:tc>
          <w:tcPr>
            <w:tcW w:w="116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7"/>
                <w:szCs w:val="17"/>
              </w:rPr>
              <w:t>77.01</w:t>
            </w:r>
          </w:p>
        </w:tc>
      </w:tr>
      <w:tr w:rsidR="00CD2162" w:rsidRPr="00B97D27">
        <w:trPr>
          <w:cantSplit/>
        </w:trPr>
        <w:tc>
          <w:tcPr>
            <w:tcW w:w="32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Variable cost</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14.26</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17.96</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22.00</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25.08</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27.73</w:t>
            </w:r>
          </w:p>
        </w:tc>
      </w:tr>
      <w:tr w:rsidR="00CD2162" w:rsidRPr="00B97D27">
        <w:trPr>
          <w:cantSplit/>
        </w:trPr>
        <w:tc>
          <w:tcPr>
            <w:tcW w:w="3226"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7"/>
                <w:szCs w:val="17"/>
              </w:rPr>
              <w:t>Gross contribution</w:t>
            </w:r>
          </w:p>
        </w:tc>
        <w:tc>
          <w:tcPr>
            <w:tcW w:w="116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7"/>
                <w:szCs w:val="17"/>
              </w:rPr>
              <w:t>25.34</w:t>
            </w:r>
          </w:p>
        </w:tc>
        <w:tc>
          <w:tcPr>
            <w:tcW w:w="116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7"/>
                <w:szCs w:val="17"/>
              </w:rPr>
              <w:t>31.93</w:t>
            </w:r>
          </w:p>
        </w:tc>
        <w:tc>
          <w:tcPr>
            <w:tcW w:w="116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7"/>
                <w:szCs w:val="17"/>
              </w:rPr>
              <w:t>39.12</w:t>
            </w:r>
          </w:p>
        </w:tc>
        <w:tc>
          <w:tcPr>
            <w:tcW w:w="116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7"/>
                <w:szCs w:val="17"/>
              </w:rPr>
              <w:t>44.60</w:t>
            </w:r>
          </w:p>
        </w:tc>
        <w:tc>
          <w:tcPr>
            <w:tcW w:w="116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7"/>
                <w:szCs w:val="17"/>
              </w:rPr>
              <w:t>49.29</w:t>
            </w:r>
          </w:p>
        </w:tc>
      </w:tr>
      <w:tr w:rsidR="00CD2162" w:rsidRPr="00B97D27">
        <w:trPr>
          <w:cantSplit/>
        </w:trPr>
        <w:tc>
          <w:tcPr>
            <w:tcW w:w="32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Fixed operating cost</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24.63</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26.12</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27.70</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29.32</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30.99</w:t>
            </w:r>
          </w:p>
        </w:tc>
      </w:tr>
      <w:tr w:rsidR="00CD2162" w:rsidRPr="00B97D27">
        <w:trPr>
          <w:cantSplit/>
        </w:trPr>
        <w:tc>
          <w:tcPr>
            <w:tcW w:w="3226"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7"/>
                <w:szCs w:val="17"/>
              </w:rPr>
              <w:t>EBITDA</w:t>
            </w:r>
          </w:p>
        </w:tc>
        <w:tc>
          <w:tcPr>
            <w:tcW w:w="116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7"/>
                <w:szCs w:val="17"/>
              </w:rPr>
              <w:t>0.72</w:t>
            </w:r>
          </w:p>
        </w:tc>
        <w:tc>
          <w:tcPr>
            <w:tcW w:w="116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7"/>
                <w:szCs w:val="17"/>
              </w:rPr>
              <w:t>5.81</w:t>
            </w:r>
          </w:p>
        </w:tc>
        <w:tc>
          <w:tcPr>
            <w:tcW w:w="116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7"/>
                <w:szCs w:val="17"/>
              </w:rPr>
              <w:t>11.42</w:t>
            </w:r>
          </w:p>
        </w:tc>
        <w:tc>
          <w:tcPr>
            <w:tcW w:w="116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7"/>
                <w:szCs w:val="17"/>
              </w:rPr>
              <w:t>15.28</w:t>
            </w:r>
          </w:p>
        </w:tc>
        <w:tc>
          <w:tcPr>
            <w:tcW w:w="116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7"/>
                <w:szCs w:val="17"/>
              </w:rPr>
              <w:t>18.30</w:t>
            </w:r>
          </w:p>
        </w:tc>
      </w:tr>
      <w:tr w:rsidR="00CD2162" w:rsidRPr="00B97D27">
        <w:trPr>
          <w:cantSplit/>
        </w:trPr>
        <w:tc>
          <w:tcPr>
            <w:tcW w:w="32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Depreciation &amp; amortisation</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3.34</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3.34</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3.34</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3.34</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3.14</w:t>
            </w:r>
          </w:p>
        </w:tc>
      </w:tr>
      <w:tr w:rsidR="00CD2162" w:rsidRPr="00B97D27">
        <w:trPr>
          <w:cantSplit/>
        </w:trPr>
        <w:tc>
          <w:tcPr>
            <w:tcW w:w="3226"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7"/>
                <w:szCs w:val="17"/>
              </w:rPr>
              <w:t>EBIT</w:t>
            </w:r>
          </w:p>
        </w:tc>
        <w:tc>
          <w:tcPr>
            <w:tcW w:w="116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7"/>
                <w:szCs w:val="17"/>
              </w:rPr>
              <w:t>(2.62)</w:t>
            </w:r>
          </w:p>
        </w:tc>
        <w:tc>
          <w:tcPr>
            <w:tcW w:w="116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7"/>
                <w:szCs w:val="17"/>
              </w:rPr>
              <w:t>2.48</w:t>
            </w:r>
          </w:p>
        </w:tc>
        <w:tc>
          <w:tcPr>
            <w:tcW w:w="116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7"/>
                <w:szCs w:val="17"/>
              </w:rPr>
              <w:t>8.08</w:t>
            </w:r>
          </w:p>
        </w:tc>
        <w:tc>
          <w:tcPr>
            <w:tcW w:w="116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7"/>
                <w:szCs w:val="17"/>
              </w:rPr>
              <w:t>11.94</w:t>
            </w:r>
          </w:p>
        </w:tc>
        <w:tc>
          <w:tcPr>
            <w:tcW w:w="116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7"/>
                <w:szCs w:val="17"/>
              </w:rPr>
              <w:t>15.17</w:t>
            </w:r>
          </w:p>
        </w:tc>
      </w:tr>
      <w:tr w:rsidR="00CD2162" w:rsidRPr="00B97D27">
        <w:trPr>
          <w:cantSplit/>
        </w:trPr>
        <w:tc>
          <w:tcPr>
            <w:tcW w:w="32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Interest</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1.46</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1.17</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0.88</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0.59</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0.29</w:t>
            </w:r>
          </w:p>
        </w:tc>
      </w:tr>
      <w:tr w:rsidR="00CD2162" w:rsidRPr="00B97D27">
        <w:trPr>
          <w:cantSplit/>
        </w:trPr>
        <w:tc>
          <w:tcPr>
            <w:tcW w:w="32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Profit before tax</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(4.08)</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1.31</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7.20</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11.36</w:t>
            </w:r>
          </w:p>
        </w:tc>
        <w:tc>
          <w:tcPr>
            <w:tcW w:w="11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14.87</w:t>
            </w:r>
          </w:p>
        </w:tc>
      </w:tr>
      <w:tr w:rsidR="00CD2162" w:rsidRPr="00B97D27">
        <w:trPr>
          <w:cantSplit/>
        </w:trPr>
        <w:tc>
          <w:tcPr>
            <w:tcW w:w="32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Tax</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0.33</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1.81</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2.86</w:t>
            </w:r>
          </w:p>
        </w:tc>
        <w:tc>
          <w:tcPr>
            <w:tcW w:w="11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3.74</w:t>
            </w:r>
          </w:p>
        </w:tc>
      </w:tr>
      <w:tr w:rsidR="00CD2162" w:rsidRPr="00B97D27">
        <w:trPr>
          <w:cantSplit/>
        </w:trPr>
        <w:tc>
          <w:tcPr>
            <w:tcW w:w="3226"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b/>
                <w:bCs/>
                <w:sz w:val="17"/>
                <w:szCs w:val="17"/>
              </w:rPr>
              <w:t>Net profit</w:t>
            </w:r>
          </w:p>
        </w:tc>
        <w:tc>
          <w:tcPr>
            <w:tcW w:w="116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b/>
                <w:bCs/>
                <w:sz w:val="17"/>
                <w:szCs w:val="17"/>
              </w:rPr>
              <w:t>(4.08)</w:t>
            </w:r>
          </w:p>
        </w:tc>
        <w:tc>
          <w:tcPr>
            <w:tcW w:w="116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b/>
                <w:bCs/>
                <w:sz w:val="17"/>
                <w:szCs w:val="17"/>
              </w:rPr>
              <w:t>0.98</w:t>
            </w:r>
          </w:p>
        </w:tc>
        <w:tc>
          <w:tcPr>
            <w:tcW w:w="116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b/>
                <w:bCs/>
                <w:sz w:val="17"/>
                <w:szCs w:val="17"/>
              </w:rPr>
              <w:t>5.39</w:t>
            </w:r>
          </w:p>
        </w:tc>
        <w:tc>
          <w:tcPr>
            <w:tcW w:w="116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b/>
                <w:bCs/>
                <w:sz w:val="17"/>
                <w:szCs w:val="17"/>
              </w:rPr>
              <w:t>8.50</w:t>
            </w:r>
          </w:p>
        </w:tc>
        <w:tc>
          <w:tcPr>
            <w:tcW w:w="116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b/>
                <w:bCs/>
                <w:sz w:val="17"/>
                <w:szCs w:val="17"/>
              </w:rPr>
              <w:t>11.13</w:t>
            </w:r>
          </w:p>
        </w:tc>
      </w:tr>
    </w:tbl>
    <w:p w:rsidR="00CD2162" w:rsidRPr="00B97D27" w:rsidRDefault="00B97D27">
      <w:pPr>
        <w:spacing w:before="40" w:after="160"/>
        <w:rPr>
          <w:rFonts w:ascii="Times New Roman" w:hAnsi="Times New Roman" w:cs="Times New Roman"/>
        </w:rPr>
      </w:pPr>
      <w:r w:rsidRPr="00B97D27">
        <w:rPr>
          <w:rFonts w:ascii="Times New Roman" w:hAnsi="Times New Roman" w:cs="Times New Roman"/>
          <w:i/>
          <w:iCs/>
          <w:sz w:val="16"/>
          <w:szCs w:val="16"/>
        </w:rPr>
        <w:t>Source: sheet 12_Income_Statement. Figures in brackets are losses.</w:t>
      </w:r>
    </w:p>
    <w:p w:rsidR="00CD2162" w:rsidRPr="00B97D27" w:rsidRDefault="00B97D27">
      <w:pPr>
        <w:keepNext/>
        <w:spacing w:before="80" w:after="40"/>
        <w:jc w:val="center"/>
        <w:rPr>
          <w:rFonts w:ascii="Times New Roman" w:hAnsi="Times New Roman" w:cs="Times New Roman"/>
        </w:rPr>
      </w:pPr>
      <w:r w:rsidRPr="00B97D27">
        <w:rPr>
          <w:rFonts w:ascii="Times New Roman" w:hAnsi="Times New Roman" w:cs="Times New Roman"/>
          <w:noProof/>
        </w:rPr>
        <w:drawing>
          <wp:inline distT="0" distB="0" distL="0" distR="0">
            <wp:extent cx="5143500" cy="2571750"/>
            <wp:effectExtent l="0" t="0" r="0" b="0"/>
            <wp:docPr id="1" name="Figure 1" descr="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571750"/>
                    </a:xfrm>
                    <a:prstGeom prst="rect">
                      <a:avLst/>
                    </a:prstGeom>
                  </pic:spPr>
                </pic:pic>
              </a:graphicData>
            </a:graphic>
          </wp:inline>
        </w:drawing>
      </w:r>
    </w:p>
    <w:p w:rsidR="00CD2162" w:rsidRPr="00B97D27" w:rsidRDefault="00B97D27">
      <w:pPr>
        <w:spacing w:before="40" w:after="160"/>
        <w:rPr>
          <w:rFonts w:ascii="Times New Roman" w:hAnsi="Times New Roman" w:cs="Times New Roman"/>
        </w:rPr>
      </w:pPr>
      <w:r w:rsidRPr="00B97D27">
        <w:rPr>
          <w:rFonts w:ascii="Times New Roman" w:hAnsi="Times New Roman" w:cs="Times New Roman"/>
          <w:i/>
          <w:iCs/>
          <w:sz w:val="16"/>
          <w:szCs w:val="16"/>
        </w:rPr>
        <w:t>Figure 1: Revenue, EBITDA and net profit, Years 1 to 5 (₹ lakh).</w:t>
      </w:r>
    </w:p>
    <w:p w:rsidR="00CD2162" w:rsidRPr="00B97D27" w:rsidRDefault="00B97D27">
      <w:pPr>
        <w:spacing w:after="120" w:line="288" w:lineRule="auto"/>
        <w:jc w:val="both"/>
        <w:rPr>
          <w:rFonts w:ascii="Times New Roman" w:hAnsi="Times New Roman" w:cs="Times New Roman"/>
        </w:rPr>
      </w:pPr>
      <w:r w:rsidRPr="00B97D27">
        <w:rPr>
          <w:rFonts w:ascii="Times New Roman" w:hAnsi="Times New Roman" w:cs="Times New Roman"/>
          <w:b/>
          <w:bCs/>
        </w:rPr>
        <w:t>Interpretation.</w:t>
      </w:r>
      <w:r w:rsidRPr="00B97D27">
        <w:rPr>
          <w:rFonts w:ascii="Times New Roman" w:hAnsi="Times New Roman" w:cs="Times New Roman"/>
        </w:rPr>
        <w:t xml:space="preserve"> Year 1 is the stress year: EBITDA is only ₹0.72 lakh, so after depreciation (₹3.34 lakh) and loan interest (₹1.46 lakh) the café records a </w:t>
      </w:r>
      <w:r w:rsidRPr="00B97D27">
        <w:rPr>
          <w:rFonts w:ascii="Times New Roman" w:hAnsi="Times New Roman" w:cs="Times New Roman"/>
          <w:b/>
          <w:bCs/>
        </w:rPr>
        <w:t>net loss of ₹4.08 lakh</w:t>
      </w:r>
      <w:r w:rsidRPr="00B97D27">
        <w:rPr>
          <w:rFonts w:ascii="Times New Roman" w:hAnsi="Times New Roman" w:cs="Times New Roman"/>
        </w:rPr>
        <w:t>. Profitability then builds as the customer base grows while fixed costs rise only slowly: EBITDA margin improves from 1.8% to 23.8%, and net profit reaches ₹11.13 lakh by Year 5. This operating leverage is the heart of the investment case, and also its main risk: if volume does not ramp up, the fixed cost base remains and losses persist.</w:t>
      </w:r>
    </w:p>
    <w:p w:rsidR="00CD2162" w:rsidRPr="00B97D27" w:rsidRDefault="00B97D27">
      <w:pPr>
        <w:pStyle w:val="Heading2"/>
        <w:keepNext/>
        <w:spacing w:before="200" w:after="100"/>
        <w:rPr>
          <w:rFonts w:ascii="Times New Roman" w:hAnsi="Times New Roman" w:cs="Times New Roman"/>
          <w:color w:val="auto"/>
        </w:rPr>
      </w:pPr>
      <w:r w:rsidRPr="00B97D27">
        <w:rPr>
          <w:rFonts w:ascii="Times New Roman" w:hAnsi="Times New Roman" w:cs="Times New Roman"/>
          <w:b/>
          <w:bCs/>
          <w:color w:val="auto"/>
          <w:sz w:val="24"/>
          <w:szCs w:val="24"/>
        </w:rPr>
        <w:lastRenderedPageBreak/>
        <w:t>7.2 Projected cash flow</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726"/>
        <w:gridCol w:w="1050"/>
        <w:gridCol w:w="1050"/>
        <w:gridCol w:w="1050"/>
        <w:gridCol w:w="1050"/>
        <w:gridCol w:w="1050"/>
        <w:gridCol w:w="1050"/>
      </w:tblGrid>
      <w:tr w:rsidR="00CD2162" w:rsidRPr="00B97D27">
        <w:trPr>
          <w:cantSplit/>
          <w:tblHeader/>
        </w:trPr>
        <w:tc>
          <w:tcPr>
            <w:tcW w:w="27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 lakh</w:t>
            </w:r>
          </w:p>
        </w:tc>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6"/>
                <w:szCs w:val="16"/>
              </w:rPr>
              <w:t>Year 0</w:t>
            </w:r>
          </w:p>
        </w:tc>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6"/>
                <w:szCs w:val="16"/>
              </w:rPr>
              <w:t>Year 1</w:t>
            </w:r>
          </w:p>
        </w:tc>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6"/>
                <w:szCs w:val="16"/>
              </w:rPr>
              <w:t>Year 2</w:t>
            </w:r>
          </w:p>
        </w:tc>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6"/>
                <w:szCs w:val="16"/>
              </w:rPr>
              <w:t>Year 3</w:t>
            </w:r>
          </w:p>
        </w:tc>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6"/>
                <w:szCs w:val="16"/>
              </w:rPr>
              <w:t>Year 4</w:t>
            </w:r>
          </w:p>
        </w:tc>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6"/>
                <w:szCs w:val="16"/>
              </w:rPr>
              <w:t>Year 5</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Net profit</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(4.08)</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0.98</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5.39</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8.50</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11.13</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Add: depreciation</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3.34</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3.34</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3.34</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3.34</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3.14</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Less: increase in working capital</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(0.10)</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(0.03)</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(0.03)</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(0.02)</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(0.02)</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Operating cash flow</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(0.85)</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4.29</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8.70</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11.81</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14.25</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Capex, deposit &amp; set-up</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(22.82)</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Investing cash flow</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(22.82)</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Debt drawn</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14.65</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Equity introduced</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14.65</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Loan principal repaid</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(2.93)</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(2.93)</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(2.93)</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(2.93)</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(2.93)</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Financing cash flow</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29.30</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(2.93)</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(2.93)</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(2.93)</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(2.93)</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(2.93)</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Net change in cash</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6.48</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(3.78)</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1.36</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5.77</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8.88</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11.32</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b/>
                <w:bCs/>
                <w:sz w:val="16"/>
                <w:szCs w:val="16"/>
              </w:rPr>
              <w:t>Closing cash</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b/>
                <w:bCs/>
                <w:sz w:val="16"/>
                <w:szCs w:val="16"/>
              </w:rPr>
              <w:t>6.48</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b/>
                <w:bCs/>
                <w:sz w:val="16"/>
                <w:szCs w:val="16"/>
              </w:rPr>
              <w:t>2.70</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b/>
                <w:bCs/>
                <w:sz w:val="16"/>
                <w:szCs w:val="16"/>
              </w:rPr>
              <w:t>4.06</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b/>
                <w:bCs/>
                <w:sz w:val="16"/>
                <w:szCs w:val="16"/>
              </w:rPr>
              <w:t>9.83</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b/>
                <w:bCs/>
                <w:sz w:val="16"/>
                <w:szCs w:val="16"/>
              </w:rPr>
              <w:t>18.71</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b/>
                <w:bCs/>
                <w:sz w:val="16"/>
                <w:szCs w:val="16"/>
              </w:rPr>
              <w:t>30.03</w:t>
            </w:r>
          </w:p>
        </w:tc>
      </w:tr>
    </w:tbl>
    <w:p w:rsidR="00CD2162" w:rsidRPr="00B97D27" w:rsidRDefault="00B97D27">
      <w:pPr>
        <w:spacing w:before="40" w:after="160"/>
        <w:rPr>
          <w:rFonts w:ascii="Times New Roman" w:hAnsi="Times New Roman" w:cs="Times New Roman"/>
        </w:rPr>
      </w:pPr>
      <w:r w:rsidRPr="00B97D27">
        <w:rPr>
          <w:rFonts w:ascii="Times New Roman" w:hAnsi="Times New Roman" w:cs="Times New Roman"/>
          <w:i/>
          <w:iCs/>
          <w:sz w:val="16"/>
          <w:szCs w:val="16"/>
        </w:rPr>
        <w:t>Source: sheet 13_Cash_Flow.</w:t>
      </w:r>
    </w:p>
    <w:p w:rsidR="00CD2162" w:rsidRPr="00B97D27" w:rsidRDefault="00B97D27">
      <w:pPr>
        <w:spacing w:after="120" w:line="288" w:lineRule="auto"/>
        <w:jc w:val="both"/>
        <w:rPr>
          <w:rFonts w:ascii="Times New Roman" w:hAnsi="Times New Roman" w:cs="Times New Roman"/>
        </w:rPr>
      </w:pPr>
      <w:r w:rsidRPr="00B97D27">
        <w:rPr>
          <w:rFonts w:ascii="Times New Roman" w:hAnsi="Times New Roman" w:cs="Times New Roman"/>
        </w:rPr>
        <w:t>The cash flow statement shows that the café stays solvent throughout: closing cash never falls below ₹2.70 lakh (the low point is Year 1, when losses and loan repayments coincide), and the opening cash buffer is what prevents a shortfall. Operating cash flow is slightly negative in Year 1 (−₹0.85 lakh) because the accounting loss is almost fully offset by non-cash depreciation, and it turns positive from Year 2. The ₹2.93 lakh annual principal repayment is a sizeable claim on early cash. By Year 5 the loan is fully repaid and cash stands at ₹30.03 lakh.</w:t>
      </w:r>
    </w:p>
    <w:p w:rsidR="00CD2162" w:rsidRPr="00B97D27" w:rsidRDefault="00B97D27">
      <w:pPr>
        <w:pStyle w:val="Heading2"/>
        <w:keepNext/>
        <w:spacing w:before="200" w:after="100"/>
        <w:rPr>
          <w:rFonts w:ascii="Times New Roman" w:hAnsi="Times New Roman" w:cs="Times New Roman"/>
          <w:color w:val="auto"/>
        </w:rPr>
      </w:pPr>
      <w:r w:rsidRPr="00B97D27">
        <w:rPr>
          <w:rFonts w:ascii="Times New Roman" w:hAnsi="Times New Roman" w:cs="Times New Roman"/>
          <w:b/>
          <w:bCs/>
          <w:color w:val="auto"/>
          <w:sz w:val="24"/>
          <w:szCs w:val="24"/>
        </w:rPr>
        <w:t>7.3 Projected balance sheet</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726"/>
        <w:gridCol w:w="1050"/>
        <w:gridCol w:w="1050"/>
        <w:gridCol w:w="1050"/>
        <w:gridCol w:w="1050"/>
        <w:gridCol w:w="1050"/>
        <w:gridCol w:w="1050"/>
      </w:tblGrid>
      <w:tr w:rsidR="00CD2162" w:rsidRPr="00B97D27">
        <w:trPr>
          <w:cantSplit/>
          <w:tblHeader/>
        </w:trPr>
        <w:tc>
          <w:tcPr>
            <w:tcW w:w="27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 lakh</w:t>
            </w:r>
          </w:p>
        </w:tc>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6"/>
                <w:szCs w:val="16"/>
              </w:rPr>
              <w:t>Year 0</w:t>
            </w:r>
          </w:p>
        </w:tc>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6"/>
                <w:szCs w:val="16"/>
              </w:rPr>
              <w:t>Year 1</w:t>
            </w:r>
          </w:p>
        </w:tc>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6"/>
                <w:szCs w:val="16"/>
              </w:rPr>
              <w:t>Year 2</w:t>
            </w:r>
          </w:p>
        </w:tc>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6"/>
                <w:szCs w:val="16"/>
              </w:rPr>
              <w:t>Year 3</w:t>
            </w:r>
          </w:p>
        </w:tc>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6"/>
                <w:szCs w:val="16"/>
              </w:rPr>
              <w:t>Year 4</w:t>
            </w:r>
          </w:p>
        </w:tc>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6"/>
                <w:szCs w:val="16"/>
              </w:rPr>
              <w:t>Year 5</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Net fixed assets</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20.79</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17.45</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14.12</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10.78</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7.45</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4.31</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Security deposit</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2.03</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2.03</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2.03</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2.03</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2.03</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2.03</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Receivables</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0.22</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0.27</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0.33</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0.38</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0.42</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Inventory</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0.27</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0.34</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0.42</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0.48</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0.53</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Cash</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6.48</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2.70</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4.06</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9.83</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18.71</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30.03</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Total assets</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29.30</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22.67</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20.82</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23.39</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29.05</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37.32</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Payables</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0.39</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0.49</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0.60</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0.69</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0.76</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Bank loan</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14.65</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11.72</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8.79</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5.86</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2.93</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Share capital</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14.65</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14.65</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14.65</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14.65</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14.65</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14.65</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Retained earnings</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(4.08)</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(3.10)</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2.28</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10.78</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21.91</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Total liabilities &amp; equity</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29.30</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22.67</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20.82</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23.39</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29.05</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37.32</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b/>
                <w:bCs/>
                <w:sz w:val="16"/>
                <w:szCs w:val="16"/>
              </w:rPr>
              <w:t>Balance check</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b/>
                <w:bCs/>
                <w:sz w:val="16"/>
                <w:szCs w:val="16"/>
              </w:rPr>
              <w:t>0.00</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b/>
                <w:bCs/>
                <w:sz w:val="16"/>
                <w:szCs w:val="16"/>
              </w:rPr>
              <w:t>0.00</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b/>
                <w:bCs/>
                <w:sz w:val="16"/>
                <w:szCs w:val="16"/>
              </w:rPr>
              <w:t>0.00</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b/>
                <w:bCs/>
                <w:sz w:val="16"/>
                <w:szCs w:val="16"/>
              </w:rPr>
              <w:t>0.00</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b/>
                <w:bCs/>
                <w:sz w:val="16"/>
                <w:szCs w:val="16"/>
              </w:rPr>
              <w:t>0.00</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b/>
                <w:bCs/>
                <w:sz w:val="16"/>
                <w:szCs w:val="16"/>
              </w:rPr>
              <w:t>0.00</w:t>
            </w:r>
          </w:p>
        </w:tc>
      </w:tr>
    </w:tbl>
    <w:p w:rsidR="00CD2162" w:rsidRPr="00B97D27" w:rsidRDefault="00B97D27">
      <w:pPr>
        <w:spacing w:before="40" w:after="160"/>
        <w:rPr>
          <w:rFonts w:ascii="Times New Roman" w:hAnsi="Times New Roman" w:cs="Times New Roman"/>
        </w:rPr>
      </w:pPr>
      <w:r w:rsidRPr="00B97D27">
        <w:rPr>
          <w:rFonts w:ascii="Times New Roman" w:hAnsi="Times New Roman" w:cs="Times New Roman"/>
          <w:i/>
          <w:iCs/>
          <w:sz w:val="16"/>
          <w:szCs w:val="16"/>
        </w:rPr>
        <w:t>Source: sheet 14_Balance_Sheet. The balance check (assets minus liabilities and equity) is zero in every year.</w:t>
      </w:r>
    </w:p>
    <w:p w:rsidR="00CD2162" w:rsidRPr="00B97D27" w:rsidRDefault="00B97D27">
      <w:pPr>
        <w:spacing w:after="120" w:line="288" w:lineRule="auto"/>
        <w:jc w:val="both"/>
        <w:rPr>
          <w:rFonts w:ascii="Times New Roman" w:hAnsi="Times New Roman" w:cs="Times New Roman"/>
        </w:rPr>
      </w:pPr>
      <w:r w:rsidRPr="00B97D27">
        <w:rPr>
          <w:rFonts w:ascii="Times New Roman" w:hAnsi="Times New Roman" w:cs="Times New Roman"/>
        </w:rPr>
        <w:t>The balance sheet balances in all six dates, which proves the three statements are properly linked: net profit flows to retained earnings, depreciation reduces fixed assets, loan repayments reduce debt, and closing cash comes from the cash flow statement. Retained earnings are negative in Year 1 because of the opening loss and turn positive by Year 3.</w:t>
      </w:r>
    </w:p>
    <w:p w:rsidR="00CD2162" w:rsidRPr="00B97D27" w:rsidRDefault="00B97D27">
      <w:pPr>
        <w:pStyle w:val="Heading1"/>
        <w:keepNext/>
        <w:pBdr>
          <w:bottom w:val="single" w:sz="8" w:space="4" w:color="1F3864"/>
        </w:pBdr>
        <w:spacing w:before="240" w:after="160"/>
        <w:rPr>
          <w:rFonts w:ascii="Times New Roman" w:hAnsi="Times New Roman" w:cs="Times New Roman"/>
          <w:color w:val="auto"/>
        </w:rPr>
      </w:pPr>
      <w:r w:rsidRPr="00B97D27">
        <w:rPr>
          <w:rFonts w:ascii="Times New Roman" w:hAnsi="Times New Roman" w:cs="Times New Roman"/>
          <w:b/>
          <w:bCs/>
          <w:color w:val="auto"/>
        </w:rPr>
        <w:t>8. Project Free Cash Flow &amp; Appraisal</w:t>
      </w:r>
    </w:p>
    <w:p w:rsidR="00CD2162" w:rsidRPr="00B97D27" w:rsidRDefault="00B97D27">
      <w:pPr>
        <w:pStyle w:val="Heading2"/>
        <w:keepNext/>
        <w:spacing w:before="200" w:after="100"/>
        <w:rPr>
          <w:rFonts w:ascii="Times New Roman" w:hAnsi="Times New Roman" w:cs="Times New Roman"/>
          <w:color w:val="auto"/>
        </w:rPr>
      </w:pPr>
      <w:r w:rsidRPr="00B97D27">
        <w:rPr>
          <w:rFonts w:ascii="Times New Roman" w:hAnsi="Times New Roman" w:cs="Times New Roman"/>
          <w:b/>
          <w:bCs/>
          <w:color w:val="auto"/>
          <w:sz w:val="24"/>
          <w:szCs w:val="24"/>
        </w:rPr>
        <w:t>8.1 Project free cash flow</w:t>
      </w:r>
    </w:p>
    <w:p w:rsidR="00CD2162" w:rsidRPr="00B97D27" w:rsidRDefault="00B97D27">
      <w:pPr>
        <w:spacing w:after="120" w:line="288" w:lineRule="auto"/>
        <w:jc w:val="both"/>
        <w:rPr>
          <w:rFonts w:ascii="Times New Roman" w:hAnsi="Times New Roman" w:cs="Times New Roman"/>
        </w:rPr>
      </w:pPr>
      <w:r w:rsidRPr="00B97D27">
        <w:rPr>
          <w:rFonts w:ascii="Times New Roman" w:hAnsi="Times New Roman" w:cs="Times New Roman"/>
        </w:rPr>
        <w:t xml:space="preserve">Project free cash flow measures the café as a business, independent of how it is financed. It therefore starts from operating profit (EBIT), deducts tax on that profit, adds back depreciation, and subtracts investment </w:t>
      </w:r>
      <w:r w:rsidRPr="00B97D27">
        <w:rPr>
          <w:rFonts w:ascii="Times New Roman" w:hAnsi="Times New Roman" w:cs="Times New Roman"/>
        </w:rPr>
        <w:lastRenderedPageBreak/>
        <w:t xml:space="preserve">and working-capital build-up. </w:t>
      </w:r>
      <w:r w:rsidRPr="00B97D27">
        <w:rPr>
          <w:rFonts w:ascii="Times New Roman" w:hAnsi="Times New Roman" w:cs="Times New Roman"/>
          <w:b/>
          <w:bCs/>
        </w:rPr>
        <w:t>Interest, loan drawdown and loan repayment are excluded</w:t>
      </w:r>
      <w:r w:rsidRPr="00B97D27">
        <w:rPr>
          <w:rFonts w:ascii="Times New Roman" w:hAnsi="Times New Roman" w:cs="Times New Roman"/>
        </w:rPr>
        <w:t xml:space="preserve"> because their cost is already captured in the discount rate; including them would count the cost of financing twice.</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726"/>
        <w:gridCol w:w="1050"/>
        <w:gridCol w:w="1050"/>
        <w:gridCol w:w="1050"/>
        <w:gridCol w:w="1050"/>
        <w:gridCol w:w="1050"/>
        <w:gridCol w:w="1050"/>
      </w:tblGrid>
      <w:tr w:rsidR="00CD2162" w:rsidRPr="00B97D27">
        <w:trPr>
          <w:cantSplit/>
          <w:tblHeader/>
        </w:trPr>
        <w:tc>
          <w:tcPr>
            <w:tcW w:w="27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 lakh</w:t>
            </w:r>
          </w:p>
        </w:tc>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6"/>
                <w:szCs w:val="16"/>
              </w:rPr>
              <w:t>Year 0</w:t>
            </w:r>
          </w:p>
        </w:tc>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6"/>
                <w:szCs w:val="16"/>
              </w:rPr>
              <w:t>Year 1</w:t>
            </w:r>
          </w:p>
        </w:tc>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6"/>
                <w:szCs w:val="16"/>
              </w:rPr>
              <w:t>Year 2</w:t>
            </w:r>
          </w:p>
        </w:tc>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6"/>
                <w:szCs w:val="16"/>
              </w:rPr>
              <w:t>Year 3</w:t>
            </w:r>
          </w:p>
        </w:tc>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6"/>
                <w:szCs w:val="16"/>
              </w:rPr>
              <w:t>Year 4</w:t>
            </w:r>
          </w:p>
        </w:tc>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6"/>
                <w:szCs w:val="16"/>
              </w:rPr>
              <w:t>Year 5</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EBIT</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(2.62)</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2.48</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8.08</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11.94</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15.17</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Tax on EBIT</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0.62</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2.03</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3.01</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3.82</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NOPAT</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(2.62)</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1.85</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6.05</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8.94</w:t>
            </w:r>
          </w:p>
        </w:tc>
        <w:tc>
          <w:tcPr>
            <w:tcW w:w="105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11.35</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Add: depreciation</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3.34</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3.34</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3.34</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3.34</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3.14</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Capex &amp; set-up</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(20.79)</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Security deposit</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(2.03)</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Initial working capital</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(6.48)</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Increase in working capital</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(0.10)</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(0.03)</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(0.03)</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(0.02)</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(0.02)</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After-tax salvage value</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1.08</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Release of working capital</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6.48</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Refund of deposit</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2.03</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PROJECT FREE CASH FLOW</w:t>
            </w:r>
          </w:p>
        </w:tc>
        <w:tc>
          <w:tcPr>
            <w:tcW w:w="105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(29.30)</w:t>
            </w:r>
          </w:p>
        </w:tc>
        <w:tc>
          <w:tcPr>
            <w:tcW w:w="105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0.62</w:t>
            </w:r>
          </w:p>
        </w:tc>
        <w:tc>
          <w:tcPr>
            <w:tcW w:w="105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5.16</w:t>
            </w:r>
          </w:p>
        </w:tc>
        <w:tc>
          <w:tcPr>
            <w:tcW w:w="105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9.35</w:t>
            </w:r>
          </w:p>
        </w:tc>
        <w:tc>
          <w:tcPr>
            <w:tcW w:w="105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12.25</w:t>
            </w:r>
          </w:p>
        </w:tc>
        <w:tc>
          <w:tcPr>
            <w:tcW w:w="105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24.05</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6"/>
                <w:szCs w:val="16"/>
              </w:rPr>
              <w:t>Cumulative FCF</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sz w:val="16"/>
                <w:szCs w:val="16"/>
              </w:rPr>
              <w:t>(29.30)</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sz w:val="16"/>
                <w:szCs w:val="16"/>
              </w:rPr>
              <w:t>(28.68)</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sz w:val="16"/>
                <w:szCs w:val="16"/>
              </w:rPr>
              <w:t>(23.51)</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sz w:val="16"/>
                <w:szCs w:val="16"/>
              </w:rPr>
              <w:t>(14.16)</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sz w:val="16"/>
                <w:szCs w:val="16"/>
              </w:rPr>
              <w:t>(1.91)</w:t>
            </w:r>
          </w:p>
        </w:tc>
        <w:tc>
          <w:tcPr>
            <w:tcW w:w="10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sz w:val="16"/>
                <w:szCs w:val="16"/>
              </w:rPr>
              <w:t>22.14</w:t>
            </w:r>
          </w:p>
        </w:tc>
      </w:tr>
    </w:tbl>
    <w:p w:rsidR="00CD2162" w:rsidRPr="00B97D27" w:rsidRDefault="00B97D27">
      <w:pPr>
        <w:spacing w:before="40" w:after="160"/>
        <w:rPr>
          <w:rFonts w:ascii="Times New Roman" w:hAnsi="Times New Roman" w:cs="Times New Roman"/>
        </w:rPr>
      </w:pPr>
      <w:r w:rsidRPr="00B97D27">
        <w:rPr>
          <w:rFonts w:ascii="Times New Roman" w:hAnsi="Times New Roman" w:cs="Times New Roman"/>
          <w:i/>
          <w:iCs/>
          <w:sz w:val="16"/>
          <w:szCs w:val="16"/>
        </w:rPr>
        <w:t>Source: sheet 15_Project_FCF.</w:t>
      </w:r>
    </w:p>
    <w:p w:rsidR="00CD2162" w:rsidRPr="00B97D27" w:rsidRDefault="00B97D27">
      <w:pPr>
        <w:pStyle w:val="Heading2"/>
        <w:keepNext/>
        <w:spacing w:before="200" w:after="100"/>
        <w:rPr>
          <w:rFonts w:ascii="Times New Roman" w:hAnsi="Times New Roman" w:cs="Times New Roman"/>
          <w:color w:val="auto"/>
        </w:rPr>
      </w:pPr>
      <w:r w:rsidRPr="00B97D27">
        <w:rPr>
          <w:rFonts w:ascii="Times New Roman" w:hAnsi="Times New Roman" w:cs="Times New Roman"/>
          <w:b/>
          <w:bCs/>
          <w:color w:val="auto"/>
          <w:sz w:val="24"/>
          <w:szCs w:val="24"/>
        </w:rPr>
        <w:t>8.2 Appraisal results</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400"/>
        <w:gridCol w:w="1700"/>
        <w:gridCol w:w="4926"/>
      </w:tblGrid>
      <w:tr w:rsidR="00CD2162" w:rsidRPr="00B97D27">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7"/>
                <w:szCs w:val="17"/>
              </w:rPr>
              <w:t>Metric</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7"/>
                <w:szCs w:val="17"/>
              </w:rPr>
              <w:t>Result</w:t>
            </w:r>
          </w:p>
        </w:tc>
        <w:tc>
          <w:tcPr>
            <w:tcW w:w="49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7"/>
                <w:szCs w:val="17"/>
              </w:rPr>
              <w:t>How to read it</w:t>
            </w:r>
          </w:p>
        </w:tc>
      </w:tr>
      <w:tr w:rsidR="00CD2162" w:rsidRPr="00B97D2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Required return (WACC)</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13.29%</w:t>
            </w:r>
          </w:p>
        </w:tc>
        <w:tc>
          <w:tcPr>
            <w:tcW w:w="49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The hurdle the project must clear</w:t>
            </w:r>
          </w:p>
        </w:tc>
      </w:tr>
      <w:tr w:rsidR="00CD2162" w:rsidRPr="00B97D2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Net present value</w:t>
            </w:r>
          </w:p>
        </w:tc>
        <w:tc>
          <w:tcPr>
            <w:tcW w:w="17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₹2.03 lakh</w:t>
            </w:r>
          </w:p>
        </w:tc>
        <w:tc>
          <w:tcPr>
            <w:tcW w:w="4926"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Sum of discounted cash flows minus investment; positive means value is created</w:t>
            </w:r>
          </w:p>
        </w:tc>
      </w:tr>
      <w:tr w:rsidR="00CD2162" w:rsidRPr="00B97D2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Internal rate of return</w:t>
            </w:r>
          </w:p>
        </w:tc>
        <w:tc>
          <w:tcPr>
            <w:tcW w:w="17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15.26%</w:t>
            </w:r>
          </w:p>
        </w:tc>
        <w:tc>
          <w:tcPr>
            <w:tcW w:w="4926"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Exceeds the hurdle by 1.97 percentage points</w:t>
            </w:r>
          </w:p>
        </w:tc>
      </w:tr>
      <w:tr w:rsidR="00CD2162" w:rsidRPr="00B97D2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Payback period</w:t>
            </w:r>
          </w:p>
        </w:tc>
        <w:tc>
          <w:tcPr>
            <w:tcW w:w="17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4.08 years</w:t>
            </w:r>
          </w:p>
        </w:tc>
        <w:tc>
          <w:tcPr>
            <w:tcW w:w="4926"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Time to recover the initial investment from cash flows</w:t>
            </w:r>
          </w:p>
        </w:tc>
      </w:tr>
      <w:tr w:rsidR="00CD2162" w:rsidRPr="00B97D2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7"/>
                <w:szCs w:val="17"/>
              </w:rPr>
              <w:t>Profitability index</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7"/>
                <w:szCs w:val="17"/>
              </w:rPr>
              <w:t>1.07</w:t>
            </w:r>
          </w:p>
        </w:tc>
        <w:tc>
          <w:tcPr>
            <w:tcW w:w="49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7"/>
                <w:szCs w:val="17"/>
              </w:rPr>
              <w:t>Each ₹1 invested returns about ₹1.07 in today's value</w:t>
            </w:r>
          </w:p>
        </w:tc>
      </w:tr>
    </w:tbl>
    <w:p w:rsidR="00CD2162" w:rsidRPr="00B97D27" w:rsidRDefault="00B97D27">
      <w:pPr>
        <w:spacing w:before="40" w:after="160"/>
        <w:rPr>
          <w:rFonts w:ascii="Times New Roman" w:hAnsi="Times New Roman" w:cs="Times New Roman"/>
        </w:rPr>
      </w:pPr>
      <w:r w:rsidRPr="00B97D27">
        <w:rPr>
          <w:rFonts w:ascii="Times New Roman" w:hAnsi="Times New Roman" w:cs="Times New Roman"/>
          <w:i/>
          <w:iCs/>
          <w:sz w:val="16"/>
          <w:szCs w:val="16"/>
        </w:rPr>
        <w:t>Source: sheet 16_Appraisal. NPV was computed two independent ways (Excel NPV function and the sum of present values) and both agree.</w:t>
      </w:r>
    </w:p>
    <w:p w:rsidR="00CD2162" w:rsidRPr="00B97D27" w:rsidRDefault="00B97D27">
      <w:pPr>
        <w:keepNext/>
        <w:spacing w:before="80" w:after="40"/>
        <w:jc w:val="center"/>
        <w:rPr>
          <w:rFonts w:ascii="Times New Roman" w:hAnsi="Times New Roman" w:cs="Times New Roman"/>
        </w:rPr>
      </w:pPr>
      <w:r w:rsidRPr="00B97D27">
        <w:rPr>
          <w:rFonts w:ascii="Times New Roman" w:hAnsi="Times New Roman" w:cs="Times New Roman"/>
          <w:noProof/>
        </w:rPr>
        <w:drawing>
          <wp:inline distT="0" distB="0" distL="0" distR="0">
            <wp:extent cx="5143500" cy="2409825"/>
            <wp:effectExtent l="0" t="0" r="0" b="0"/>
            <wp:docPr id="2" name="Figure 2" descr="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409825"/>
                    </a:xfrm>
                    <a:prstGeom prst="rect">
                      <a:avLst/>
                    </a:prstGeom>
                  </pic:spPr>
                </pic:pic>
              </a:graphicData>
            </a:graphic>
          </wp:inline>
        </w:drawing>
      </w:r>
    </w:p>
    <w:p w:rsidR="00CD2162" w:rsidRPr="00B97D27" w:rsidRDefault="00B97D27">
      <w:pPr>
        <w:spacing w:before="40" w:after="160"/>
        <w:rPr>
          <w:rFonts w:ascii="Times New Roman" w:hAnsi="Times New Roman" w:cs="Times New Roman"/>
        </w:rPr>
      </w:pPr>
      <w:r w:rsidRPr="00B97D27">
        <w:rPr>
          <w:rFonts w:ascii="Times New Roman" w:hAnsi="Times New Roman" w:cs="Times New Roman"/>
          <w:i/>
          <w:iCs/>
          <w:sz w:val="16"/>
          <w:szCs w:val="16"/>
        </w:rPr>
        <w:t>Figure 2: Cumulative project free cash flow; the line crosses zero at about 4.1 years.</w:t>
      </w:r>
    </w:p>
    <w:p w:rsidR="00CD2162" w:rsidRPr="00B97D27" w:rsidRDefault="00B97D27">
      <w:pPr>
        <w:pStyle w:val="Heading2"/>
        <w:keepNext/>
        <w:spacing w:before="200" w:after="100"/>
        <w:rPr>
          <w:rFonts w:ascii="Times New Roman" w:hAnsi="Times New Roman" w:cs="Times New Roman"/>
          <w:color w:val="auto"/>
        </w:rPr>
      </w:pPr>
      <w:r w:rsidRPr="00B97D27">
        <w:rPr>
          <w:rFonts w:ascii="Times New Roman" w:hAnsi="Times New Roman" w:cs="Times New Roman"/>
          <w:b/>
          <w:bCs/>
          <w:color w:val="auto"/>
          <w:sz w:val="24"/>
          <w:szCs w:val="24"/>
        </w:rPr>
        <w:t>8.3 What the numbers mean</w:t>
      </w:r>
    </w:p>
    <w:p w:rsidR="00CD2162" w:rsidRPr="00B97D27" w:rsidRDefault="00B97D27">
      <w:pPr>
        <w:spacing w:after="120" w:line="288" w:lineRule="auto"/>
        <w:jc w:val="both"/>
        <w:rPr>
          <w:rFonts w:ascii="Times New Roman" w:hAnsi="Times New Roman" w:cs="Times New Roman"/>
        </w:rPr>
      </w:pPr>
      <w:r w:rsidRPr="00B97D27">
        <w:rPr>
          <w:rFonts w:ascii="Times New Roman" w:hAnsi="Times New Roman" w:cs="Times New Roman"/>
        </w:rPr>
        <w:t>The project passes the basic tests: NPV is positive and IRR is above the hurdle. But the margins are thin. The NPV of ₹2.03 lakh is only about 6.9% of the money invested, and payback takes 4.1 of the five years, so almost all the value is earned in Years 3 to 5.</w:t>
      </w:r>
    </w:p>
    <w:p w:rsidR="00CD2162" w:rsidRPr="00B97D27" w:rsidRDefault="00B97D27">
      <w:pPr>
        <w:spacing w:after="120" w:line="288" w:lineRule="auto"/>
        <w:jc w:val="both"/>
        <w:rPr>
          <w:rFonts w:ascii="Times New Roman" w:hAnsi="Times New Roman" w:cs="Times New Roman"/>
        </w:rPr>
      </w:pPr>
      <w:r w:rsidRPr="00B97D27">
        <w:rPr>
          <w:rFonts w:ascii="Times New Roman" w:hAnsi="Times New Roman" w:cs="Times New Roman"/>
        </w:rPr>
        <w:t xml:space="preserve">One further point deserves honesty. Year 5 includes </w:t>
      </w:r>
      <w:r w:rsidRPr="00B97D27">
        <w:rPr>
          <w:rFonts w:ascii="Times New Roman" w:hAnsi="Times New Roman" w:cs="Times New Roman"/>
          <w:b/>
          <w:bCs/>
        </w:rPr>
        <w:t>₹9.58 lakh of terminal recoveries</w:t>
      </w:r>
      <w:r w:rsidRPr="00B97D27">
        <w:rPr>
          <w:rFonts w:ascii="Times New Roman" w:hAnsi="Times New Roman" w:cs="Times New Roman"/>
        </w:rPr>
        <w:t xml:space="preserve"> (resale of equipment, refund of the deposit and release of the cash buffer). Most of this is a return of money already </w:t>
      </w:r>
      <w:r w:rsidRPr="00B97D27">
        <w:rPr>
          <w:rFonts w:ascii="Times New Roman" w:hAnsi="Times New Roman" w:cs="Times New Roman"/>
        </w:rPr>
        <w:lastRenderedPageBreak/>
        <w:t>counted as an outflow in Year 0, so including it is correct. But its present value is about ₹5.13 lakh, which is larger than the whole NPV: without these recoveries the NPV would be about −₹3.10 lakh. In plain terms, the result depends on the lease ending cleanly, the deposit being returned, and the cash buffer not being consumed by early losses. That is another reason we present this as a conditional, not an unconditional, investment.</w:t>
      </w:r>
    </w:p>
    <w:p w:rsidR="00CD2162" w:rsidRPr="00B97D27" w:rsidRDefault="00B97D27">
      <w:pPr>
        <w:pStyle w:val="Heading1"/>
        <w:keepNext/>
        <w:pBdr>
          <w:bottom w:val="single" w:sz="8" w:space="4" w:color="1F3864"/>
        </w:pBdr>
        <w:spacing w:before="240" w:after="160"/>
        <w:rPr>
          <w:rFonts w:ascii="Times New Roman" w:hAnsi="Times New Roman" w:cs="Times New Roman"/>
          <w:color w:val="auto"/>
        </w:rPr>
      </w:pPr>
      <w:r w:rsidRPr="00B97D27">
        <w:rPr>
          <w:rFonts w:ascii="Times New Roman" w:hAnsi="Times New Roman" w:cs="Times New Roman"/>
          <w:b/>
          <w:bCs/>
          <w:color w:val="auto"/>
        </w:rPr>
        <w:t>9. Break-even Analysis</w:t>
      </w:r>
    </w:p>
    <w:p w:rsidR="00CD2162" w:rsidRPr="00B97D27" w:rsidRDefault="00B97D27">
      <w:pPr>
        <w:spacing w:after="120" w:line="288" w:lineRule="auto"/>
        <w:jc w:val="both"/>
        <w:rPr>
          <w:rFonts w:ascii="Times New Roman" w:hAnsi="Times New Roman" w:cs="Times New Roman"/>
        </w:rPr>
      </w:pPr>
      <w:r w:rsidRPr="00B97D27">
        <w:rPr>
          <w:rFonts w:ascii="Times New Roman" w:hAnsi="Times New Roman" w:cs="Times New Roman"/>
        </w:rPr>
        <w:t xml:space="preserve">Break-even answers a practical question: how many customers must the café serve every day just to cover its fixed costs? Each customer pays a bill and uses variable cost, and the difference is the </w:t>
      </w:r>
      <w:r w:rsidRPr="00B97D27">
        <w:rPr>
          <w:rFonts w:ascii="Times New Roman" w:hAnsi="Times New Roman" w:cs="Times New Roman"/>
          <w:b/>
          <w:bCs/>
        </w:rPr>
        <w:t>contribution</w:t>
      </w:r>
      <w:r w:rsidRPr="00B97D27">
        <w:rPr>
          <w:rFonts w:ascii="Times New Roman" w:hAnsi="Times New Roman" w:cs="Times New Roman"/>
        </w:rPr>
        <w:t xml:space="preserve"> that goes towards fixed costs.</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4500"/>
        <w:gridCol w:w="4526"/>
      </w:tblGrid>
      <w:tr w:rsidR="00CD2162" w:rsidRPr="00B97D27">
        <w:trPr>
          <w:cantSplit/>
          <w:tblHeader/>
        </w:trPr>
        <w:tc>
          <w:tcPr>
            <w:tcW w:w="4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7"/>
                <w:szCs w:val="17"/>
              </w:rPr>
              <w:t>Year-1 break-even</w:t>
            </w:r>
          </w:p>
        </w:tc>
        <w:tc>
          <w:tcPr>
            <w:tcW w:w="45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7"/>
                <w:szCs w:val="17"/>
              </w:rPr>
              <w:t>Value</w:t>
            </w:r>
          </w:p>
        </w:tc>
      </w:tr>
      <w:tr w:rsidR="00CD2162" w:rsidRPr="00B97D27">
        <w:trPr>
          <w:cantSplit/>
        </w:trPr>
        <w:tc>
          <w:tcPr>
            <w:tcW w:w="4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Average bill per customer</w:t>
            </w:r>
          </w:p>
        </w:tc>
        <w:tc>
          <w:tcPr>
            <w:tcW w:w="45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₹160</w:t>
            </w:r>
          </w:p>
        </w:tc>
      </w:tr>
      <w:tr w:rsidR="00CD2162" w:rsidRPr="00B97D27">
        <w:trPr>
          <w:cantSplit/>
        </w:trPr>
        <w:tc>
          <w:tcPr>
            <w:tcW w:w="45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Variable cost per customer</w:t>
            </w:r>
          </w:p>
        </w:tc>
        <w:tc>
          <w:tcPr>
            <w:tcW w:w="45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₹57.6</w:t>
            </w:r>
          </w:p>
        </w:tc>
      </w:tr>
      <w:tr w:rsidR="00CD2162" w:rsidRPr="00B97D27">
        <w:trPr>
          <w:cantSplit/>
        </w:trPr>
        <w:tc>
          <w:tcPr>
            <w:tcW w:w="4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Contribution per customer</w:t>
            </w:r>
          </w:p>
        </w:tc>
        <w:tc>
          <w:tcPr>
            <w:tcW w:w="45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₹102.4 (64.0% of the bill)</w:t>
            </w:r>
          </w:p>
        </w:tc>
      </w:tr>
      <w:tr w:rsidR="00CD2162" w:rsidRPr="00B97D27">
        <w:trPr>
          <w:cantSplit/>
        </w:trPr>
        <w:tc>
          <w:tcPr>
            <w:tcW w:w="45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Annual fixed operating costs</w:t>
            </w:r>
          </w:p>
        </w:tc>
        <w:tc>
          <w:tcPr>
            <w:tcW w:w="45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₹24.63 lakh</w:t>
            </w:r>
          </w:p>
        </w:tc>
      </w:tr>
      <w:tr w:rsidR="00CD2162" w:rsidRPr="00B97D27">
        <w:trPr>
          <w:cantSplit/>
        </w:trPr>
        <w:tc>
          <w:tcPr>
            <w:tcW w:w="4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Break-even customers per year</w:t>
            </w:r>
          </w:p>
        </w:tc>
        <w:tc>
          <w:tcPr>
            <w:tcW w:w="45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24,049</w:t>
            </w:r>
          </w:p>
        </w:tc>
      </w:tr>
      <w:tr w:rsidR="00CD2162" w:rsidRPr="00B97D27">
        <w:trPr>
          <w:cantSplit/>
        </w:trPr>
        <w:tc>
          <w:tcPr>
            <w:tcW w:w="45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Break-even customers per day</w:t>
            </w:r>
          </w:p>
        </w:tc>
        <w:tc>
          <w:tcPr>
            <w:tcW w:w="4526"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72.9</w:t>
            </w:r>
          </w:p>
        </w:tc>
      </w:tr>
      <w:tr w:rsidR="00CD2162" w:rsidRPr="00B97D27">
        <w:trPr>
          <w:cantSplit/>
        </w:trPr>
        <w:tc>
          <w:tcPr>
            <w:tcW w:w="4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Break-even revenue per year</w:t>
            </w:r>
          </w:p>
        </w:tc>
        <w:tc>
          <w:tcPr>
            <w:tcW w:w="45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₹38.48 lakh</w:t>
            </w:r>
          </w:p>
        </w:tc>
      </w:tr>
      <w:tr w:rsidR="00CD2162" w:rsidRPr="00B97D27">
        <w:trPr>
          <w:cantSplit/>
        </w:trPr>
        <w:tc>
          <w:tcPr>
            <w:tcW w:w="45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Projected Year-1 customers per day</w:t>
            </w:r>
          </w:p>
        </w:tc>
        <w:tc>
          <w:tcPr>
            <w:tcW w:w="45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75.0</w:t>
            </w:r>
          </w:p>
        </w:tc>
      </w:tr>
      <w:tr w:rsidR="00CD2162" w:rsidRPr="00B97D27">
        <w:trPr>
          <w:cantSplit/>
        </w:trPr>
        <w:tc>
          <w:tcPr>
            <w:tcW w:w="45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Margin of safety</w:t>
            </w:r>
          </w:p>
        </w:tc>
        <w:tc>
          <w:tcPr>
            <w:tcW w:w="4526" w:type="dxa"/>
            <w:tcBorders>
              <w:top w:val="single" w:sz="4" w:space="0" w:color="BFBFBF"/>
              <w:left w:val="single" w:sz="4" w:space="0" w:color="BFBFBF"/>
              <w:bottom w:val="single" w:sz="4" w:space="0" w:color="BFBFBF"/>
              <w:right w:val="single" w:sz="4" w:space="0" w:color="BFBFBF"/>
            </w:tcBorders>
            <w:shd w:val="clear" w:color="auto" w:fill="FFF2C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701 customers a year (2.8%)</w:t>
            </w:r>
          </w:p>
        </w:tc>
      </w:tr>
      <w:tr w:rsidR="00CD2162" w:rsidRPr="00B97D27">
        <w:trPr>
          <w:cantSplit/>
        </w:trPr>
        <w:tc>
          <w:tcPr>
            <w:tcW w:w="45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Break-even seat turns per day</w:t>
            </w:r>
          </w:p>
        </w:tc>
        <w:tc>
          <w:tcPr>
            <w:tcW w:w="45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2.43</w:t>
            </w:r>
          </w:p>
        </w:tc>
      </w:tr>
      <w:tr w:rsidR="00CD2162" w:rsidRPr="00B97D27">
        <w:trPr>
          <w:cantSplit/>
        </w:trPr>
        <w:tc>
          <w:tcPr>
            <w:tcW w:w="4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7"/>
                <w:szCs w:val="17"/>
              </w:rPr>
              <w:t>Break-even incl. depreciation and interest</w:t>
            </w:r>
          </w:p>
        </w:tc>
        <w:tc>
          <w:tcPr>
            <w:tcW w:w="45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7"/>
                <w:szCs w:val="17"/>
              </w:rPr>
              <w:t>87 customers per day</w:t>
            </w:r>
          </w:p>
        </w:tc>
      </w:tr>
    </w:tbl>
    <w:p w:rsidR="00CD2162" w:rsidRPr="00B97D27" w:rsidRDefault="00B97D27">
      <w:pPr>
        <w:spacing w:before="40" w:after="160"/>
        <w:rPr>
          <w:rFonts w:ascii="Times New Roman" w:hAnsi="Times New Roman" w:cs="Times New Roman"/>
        </w:rPr>
      </w:pPr>
      <w:r w:rsidRPr="00B97D27">
        <w:rPr>
          <w:rFonts w:ascii="Times New Roman" w:hAnsi="Times New Roman" w:cs="Times New Roman"/>
          <w:i/>
          <w:iCs/>
          <w:sz w:val="16"/>
          <w:szCs w:val="16"/>
        </w:rPr>
        <w:t>Source: sheet 17_Break_Even.</w:t>
      </w:r>
    </w:p>
    <w:p w:rsidR="00CD2162" w:rsidRPr="00B97D27" w:rsidRDefault="00B97D27">
      <w:pPr>
        <w:keepNext/>
        <w:spacing w:before="80" w:after="40"/>
        <w:jc w:val="center"/>
        <w:rPr>
          <w:rFonts w:ascii="Times New Roman" w:hAnsi="Times New Roman" w:cs="Times New Roman"/>
        </w:rPr>
      </w:pPr>
      <w:r w:rsidRPr="00B97D27">
        <w:rPr>
          <w:rFonts w:ascii="Times New Roman" w:hAnsi="Times New Roman" w:cs="Times New Roman"/>
          <w:noProof/>
        </w:rPr>
        <w:drawing>
          <wp:inline distT="0" distB="0" distL="0" distR="0">
            <wp:extent cx="5143500" cy="2409825"/>
            <wp:effectExtent l="0" t="0" r="0" b="0"/>
            <wp:docPr id="3" name="Figure 3" descr="Ch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2409825"/>
                    </a:xfrm>
                    <a:prstGeom prst="rect">
                      <a:avLst/>
                    </a:prstGeom>
                  </pic:spPr>
                </pic:pic>
              </a:graphicData>
            </a:graphic>
          </wp:inline>
        </w:drawing>
      </w:r>
    </w:p>
    <w:p w:rsidR="00CD2162" w:rsidRPr="00B97D27" w:rsidRDefault="00B97D27">
      <w:pPr>
        <w:spacing w:before="40" w:after="160"/>
        <w:rPr>
          <w:rFonts w:ascii="Times New Roman" w:hAnsi="Times New Roman" w:cs="Times New Roman"/>
        </w:rPr>
      </w:pPr>
      <w:r w:rsidRPr="00B97D27">
        <w:rPr>
          <w:rFonts w:ascii="Times New Roman" w:hAnsi="Times New Roman" w:cs="Times New Roman"/>
          <w:i/>
          <w:iCs/>
          <w:sz w:val="16"/>
          <w:szCs w:val="16"/>
        </w:rPr>
        <w:t>Figure 3: Projected customers per day against break-even, Years 1 to 5.</w:t>
      </w:r>
    </w:p>
    <w:p w:rsidR="00CD2162" w:rsidRPr="00B97D27" w:rsidRDefault="00B97D27">
      <w:pPr>
        <w:spacing w:after="120" w:line="288" w:lineRule="auto"/>
        <w:jc w:val="both"/>
        <w:rPr>
          <w:rFonts w:ascii="Times New Roman" w:hAnsi="Times New Roman" w:cs="Times New Roman"/>
        </w:rPr>
      </w:pPr>
      <w:r w:rsidRPr="00B97D27">
        <w:rPr>
          <w:rFonts w:ascii="Times New Roman" w:hAnsi="Times New Roman" w:cs="Times New Roman"/>
          <w:b/>
          <w:bCs/>
        </w:rPr>
        <w:t>Interpretation.</w:t>
      </w:r>
      <w:r w:rsidRPr="00B97D27">
        <w:rPr>
          <w:rFonts w:ascii="Times New Roman" w:hAnsi="Times New Roman" w:cs="Times New Roman"/>
        </w:rPr>
        <w:t xml:space="preserve"> In Year 1 the café needs about </w:t>
      </w:r>
      <w:r w:rsidRPr="00B97D27">
        <w:rPr>
          <w:rFonts w:ascii="Times New Roman" w:hAnsi="Times New Roman" w:cs="Times New Roman"/>
          <w:b/>
          <w:bCs/>
        </w:rPr>
        <w:t>73 customers a day</w:t>
      </w:r>
      <w:r w:rsidRPr="00B97D27">
        <w:rPr>
          <w:rFonts w:ascii="Times New Roman" w:hAnsi="Times New Roman" w:cs="Times New Roman"/>
        </w:rPr>
        <w:t xml:space="preserve"> to cover its fixed costs; the plan assumes 75. That is a margin of safety of only 2.8%, so the first year is essentially a test of whether the café can reach its planned footfall immediately. The cushion widens rapidly: the margin of safety is about 18.2% in Year 2 and 37.1% by Year 5, because customer numbers grow faster than break-even. If we include depreciation and interest (a full accounting break-even), Year 1 needs about 87 customers a day, which the plan does not reach; this is why Year-1 net profit is negative.</w:t>
      </w:r>
    </w:p>
    <w:p w:rsidR="00CD2162" w:rsidRPr="00B97D27" w:rsidRDefault="00B97D27">
      <w:pPr>
        <w:pStyle w:val="Heading1"/>
        <w:keepNext/>
        <w:pBdr>
          <w:bottom w:val="single" w:sz="8" w:space="4" w:color="1F3864"/>
        </w:pBdr>
        <w:spacing w:before="240" w:after="160"/>
        <w:rPr>
          <w:rFonts w:ascii="Times New Roman" w:hAnsi="Times New Roman" w:cs="Times New Roman"/>
          <w:color w:val="auto"/>
        </w:rPr>
      </w:pPr>
      <w:r w:rsidRPr="00B97D27">
        <w:rPr>
          <w:rFonts w:ascii="Times New Roman" w:hAnsi="Times New Roman" w:cs="Times New Roman"/>
          <w:b/>
          <w:bCs/>
          <w:color w:val="auto"/>
        </w:rPr>
        <w:lastRenderedPageBreak/>
        <w:t>10. Scenario &amp; Sensitivity Analysis</w:t>
      </w:r>
    </w:p>
    <w:p w:rsidR="00CD2162" w:rsidRPr="00B97D27" w:rsidRDefault="00B97D27">
      <w:pPr>
        <w:pStyle w:val="Heading2"/>
        <w:keepNext/>
        <w:spacing w:before="200" w:after="100"/>
        <w:rPr>
          <w:rFonts w:ascii="Times New Roman" w:hAnsi="Times New Roman" w:cs="Times New Roman"/>
          <w:color w:val="auto"/>
        </w:rPr>
      </w:pPr>
      <w:r w:rsidRPr="00B97D27">
        <w:rPr>
          <w:rFonts w:ascii="Times New Roman" w:hAnsi="Times New Roman" w:cs="Times New Roman"/>
          <w:b/>
          <w:bCs/>
          <w:color w:val="auto"/>
          <w:sz w:val="24"/>
          <w:szCs w:val="24"/>
        </w:rPr>
        <w:t>10.1 Scenarios</w:t>
      </w:r>
    </w:p>
    <w:p w:rsidR="00CD2162" w:rsidRPr="00B97D27" w:rsidRDefault="00B97D27">
      <w:pPr>
        <w:spacing w:after="120" w:line="288" w:lineRule="auto"/>
        <w:jc w:val="both"/>
        <w:rPr>
          <w:rFonts w:ascii="Times New Roman" w:hAnsi="Times New Roman" w:cs="Times New Roman"/>
        </w:rPr>
      </w:pPr>
      <w:r w:rsidRPr="00B97D27">
        <w:rPr>
          <w:rFonts w:ascii="Times New Roman" w:hAnsi="Times New Roman" w:cs="Times New Roman"/>
        </w:rPr>
        <w:t>Each scenario changes four variables together and re-runs the entire model (revenue, costs, tax, working capital, cash flow, NPV and IRR). The Year-0 investment is held at the base case, because it is committed before outcomes are known.</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426"/>
        <w:gridCol w:w="1650"/>
        <w:gridCol w:w="1650"/>
        <w:gridCol w:w="1650"/>
        <w:gridCol w:w="1650"/>
      </w:tblGrid>
      <w:tr w:rsidR="00CD2162" w:rsidRPr="00B97D27">
        <w:trPr>
          <w:cantSplit/>
          <w:tblHeader/>
        </w:trPr>
        <w:tc>
          <w:tcPr>
            <w:tcW w:w="24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7"/>
                <w:szCs w:val="17"/>
              </w:rPr>
              <w:t>Scenario</w:t>
            </w:r>
          </w:p>
        </w:tc>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7"/>
                <w:szCs w:val="17"/>
              </w:rPr>
              <w:t>Volume</w:t>
            </w:r>
          </w:p>
        </w:tc>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7"/>
                <w:szCs w:val="17"/>
              </w:rPr>
              <w:t>Price</w:t>
            </w:r>
          </w:p>
        </w:tc>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7"/>
                <w:szCs w:val="17"/>
              </w:rPr>
              <w:t>Variable cost</w:t>
            </w:r>
          </w:p>
        </w:tc>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7"/>
                <w:szCs w:val="17"/>
              </w:rPr>
              <w:t>Fixed cost</w:t>
            </w:r>
          </w:p>
        </w:tc>
      </w:tr>
      <w:tr w:rsidR="00CD2162" w:rsidRPr="00B97D27">
        <w:trPr>
          <w:cantSplit/>
        </w:trPr>
        <w:tc>
          <w:tcPr>
            <w:tcW w:w="24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Pessimistic</w:t>
            </w:r>
          </w:p>
        </w:tc>
        <w:tc>
          <w:tcPr>
            <w:tcW w:w="16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-20%</w:t>
            </w:r>
          </w:p>
        </w:tc>
        <w:tc>
          <w:tcPr>
            <w:tcW w:w="16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-10%</w:t>
            </w:r>
          </w:p>
        </w:tc>
        <w:tc>
          <w:tcPr>
            <w:tcW w:w="16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+10%</w:t>
            </w:r>
          </w:p>
        </w:tc>
        <w:tc>
          <w:tcPr>
            <w:tcW w:w="16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+10%</w:t>
            </w:r>
          </w:p>
        </w:tc>
      </w:tr>
      <w:tr w:rsidR="00CD2162" w:rsidRPr="00B97D27">
        <w:trPr>
          <w:cantSplit/>
        </w:trPr>
        <w:tc>
          <w:tcPr>
            <w:tcW w:w="24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Base</w:t>
            </w:r>
          </w:p>
        </w:tc>
        <w:tc>
          <w:tcPr>
            <w:tcW w:w="16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0%</w:t>
            </w:r>
          </w:p>
        </w:tc>
        <w:tc>
          <w:tcPr>
            <w:tcW w:w="16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0%</w:t>
            </w:r>
          </w:p>
        </w:tc>
        <w:tc>
          <w:tcPr>
            <w:tcW w:w="16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0%</w:t>
            </w:r>
          </w:p>
        </w:tc>
        <w:tc>
          <w:tcPr>
            <w:tcW w:w="16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0%</w:t>
            </w:r>
          </w:p>
        </w:tc>
      </w:tr>
      <w:tr w:rsidR="00CD2162" w:rsidRPr="00B97D27">
        <w:trPr>
          <w:cantSplit/>
        </w:trPr>
        <w:tc>
          <w:tcPr>
            <w:tcW w:w="24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7"/>
                <w:szCs w:val="17"/>
              </w:rPr>
              <w:t>Optimistic</w:t>
            </w:r>
          </w:p>
        </w:tc>
        <w:tc>
          <w:tcPr>
            <w:tcW w:w="16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sz w:val="17"/>
                <w:szCs w:val="17"/>
              </w:rPr>
              <w:t>+20%</w:t>
            </w:r>
          </w:p>
        </w:tc>
        <w:tc>
          <w:tcPr>
            <w:tcW w:w="16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sz w:val="17"/>
                <w:szCs w:val="17"/>
              </w:rPr>
              <w:t>+10%</w:t>
            </w:r>
          </w:p>
        </w:tc>
        <w:tc>
          <w:tcPr>
            <w:tcW w:w="16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sz w:val="17"/>
                <w:szCs w:val="17"/>
              </w:rPr>
              <w:t>-5%</w:t>
            </w:r>
          </w:p>
        </w:tc>
        <w:tc>
          <w:tcPr>
            <w:tcW w:w="16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sz w:val="17"/>
                <w:szCs w:val="17"/>
              </w:rPr>
              <w:t>-5%</w:t>
            </w:r>
          </w:p>
        </w:tc>
      </w:tr>
    </w:tbl>
    <w:p w:rsidR="00CD2162" w:rsidRPr="00B97D27" w:rsidRDefault="00CD2162">
      <w:pPr>
        <w:spacing w:after="60"/>
        <w:rPr>
          <w:rFonts w:ascii="Times New Roman" w:hAnsi="Times New Roman" w:cs="Times New Roman"/>
        </w:rPr>
      </w:pP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700"/>
        <w:gridCol w:w="1300"/>
        <w:gridCol w:w="1300"/>
        <w:gridCol w:w="1300"/>
        <w:gridCol w:w="1300"/>
        <w:gridCol w:w="1000"/>
        <w:gridCol w:w="1126"/>
      </w:tblGrid>
      <w:tr w:rsidR="00CD2162" w:rsidRPr="00B97D27">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Scenario</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6"/>
                <w:szCs w:val="16"/>
              </w:rPr>
              <w:t>Year-1 revenue</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6"/>
                <w:szCs w:val="16"/>
              </w:rPr>
              <w:t>Year-5 revenue</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6"/>
                <w:szCs w:val="16"/>
              </w:rPr>
              <w:t>Year-5 EBITDA</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6"/>
                <w:szCs w:val="16"/>
              </w:rPr>
              <w:t>NPV</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6"/>
                <w:szCs w:val="16"/>
              </w:rPr>
              <w:t>IRR</w:t>
            </w:r>
          </w:p>
        </w:tc>
        <w:tc>
          <w:tcPr>
            <w:tcW w:w="11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6"/>
                <w:szCs w:val="16"/>
              </w:rPr>
              <w:t>Payback</w:t>
            </w:r>
          </w:p>
        </w:tc>
      </w:tr>
      <w:tr w:rsidR="00CD2162" w:rsidRPr="00B97D2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Pessimistic</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28.51</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55.45</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(3.03)</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(48.92)</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n/a</w:t>
            </w:r>
          </w:p>
        </w:tc>
        <w:tc>
          <w:tcPr>
            <w:tcW w:w="11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&gt; 5 yrs</w:t>
            </w:r>
          </w:p>
        </w:tc>
      </w:tr>
      <w:tr w:rsidR="00CD2162" w:rsidRPr="00B97D2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Base</w:t>
            </w:r>
          </w:p>
        </w:tc>
        <w:tc>
          <w:tcPr>
            <w:tcW w:w="130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39.60</w:t>
            </w:r>
          </w:p>
        </w:tc>
        <w:tc>
          <w:tcPr>
            <w:tcW w:w="130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77.01</w:t>
            </w:r>
          </w:p>
        </w:tc>
        <w:tc>
          <w:tcPr>
            <w:tcW w:w="130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18.30</w:t>
            </w:r>
          </w:p>
        </w:tc>
        <w:tc>
          <w:tcPr>
            <w:tcW w:w="130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2.03</w:t>
            </w:r>
          </w:p>
        </w:tc>
        <w:tc>
          <w:tcPr>
            <w:tcW w:w="1000"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15.3%</w:t>
            </w:r>
          </w:p>
        </w:tc>
        <w:tc>
          <w:tcPr>
            <w:tcW w:w="1126" w:type="dxa"/>
            <w:tcBorders>
              <w:top w:val="single" w:sz="4" w:space="0" w:color="BFBFBF"/>
              <w:left w:val="single" w:sz="4" w:space="0" w:color="BFBFBF"/>
              <w:bottom w:val="single" w:sz="4" w:space="0" w:color="BFBFBF"/>
              <w:right w:val="single" w:sz="4" w:space="0" w:color="BFBFBF"/>
            </w:tcBorders>
            <w:shd w:val="clear" w:color="auto" w:fill="EAF0FA"/>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b/>
                <w:bCs/>
                <w:sz w:val="16"/>
                <w:szCs w:val="16"/>
              </w:rPr>
              <w:t>4.1 yrs</w:t>
            </w:r>
          </w:p>
        </w:tc>
      </w:tr>
      <w:tr w:rsidR="00CD2162" w:rsidRPr="00B97D2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6"/>
                <w:szCs w:val="16"/>
              </w:rPr>
              <w:t>Optimistic</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sz w:val="16"/>
                <w:szCs w:val="16"/>
              </w:rPr>
              <w:t>52.27</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sz w:val="16"/>
                <w:szCs w:val="16"/>
              </w:rPr>
              <w:t>101.66</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sz w:val="16"/>
                <w:szCs w:val="16"/>
              </w:rPr>
              <w:t>40.61</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sz w:val="16"/>
                <w:szCs w:val="16"/>
              </w:rPr>
              <w:t>46.34</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sz w:val="16"/>
                <w:szCs w:val="16"/>
              </w:rPr>
              <w:t>53.8%</w:t>
            </w:r>
          </w:p>
        </w:tc>
        <w:tc>
          <w:tcPr>
            <w:tcW w:w="11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sz w:val="16"/>
                <w:szCs w:val="16"/>
              </w:rPr>
              <w:t>2.1 yrs</w:t>
            </w:r>
          </w:p>
        </w:tc>
      </w:tr>
    </w:tbl>
    <w:p w:rsidR="00CD2162" w:rsidRPr="00B97D27" w:rsidRDefault="00B97D27">
      <w:pPr>
        <w:spacing w:before="40" w:after="160"/>
        <w:rPr>
          <w:rFonts w:ascii="Times New Roman" w:hAnsi="Times New Roman" w:cs="Times New Roman"/>
        </w:rPr>
      </w:pPr>
      <w:r w:rsidRPr="00B97D27">
        <w:rPr>
          <w:rFonts w:ascii="Times New Roman" w:hAnsi="Times New Roman" w:cs="Times New Roman"/>
          <w:i/>
          <w:iCs/>
          <w:sz w:val="16"/>
          <w:szCs w:val="16"/>
        </w:rPr>
        <w:t>Source: sheet 18_Scenarios (₹ lakh). The base scenario reproduces the model NPV exactly (check passes).</w:t>
      </w:r>
    </w:p>
    <w:p w:rsidR="00CD2162" w:rsidRPr="00B97D27" w:rsidRDefault="00B97D27">
      <w:pPr>
        <w:keepNext/>
        <w:spacing w:before="80" w:after="40"/>
        <w:jc w:val="center"/>
        <w:rPr>
          <w:rFonts w:ascii="Times New Roman" w:hAnsi="Times New Roman" w:cs="Times New Roman"/>
        </w:rPr>
      </w:pPr>
      <w:r w:rsidRPr="00B97D27">
        <w:rPr>
          <w:rFonts w:ascii="Times New Roman" w:hAnsi="Times New Roman" w:cs="Times New Roman"/>
          <w:noProof/>
        </w:rPr>
        <w:drawing>
          <wp:inline distT="0" distB="0" distL="0" distR="0">
            <wp:extent cx="4762500" cy="2219325"/>
            <wp:effectExtent l="0" t="0" r="0" b="0"/>
            <wp:docPr id="4" name="Figure 4" descr="Char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219325"/>
                    </a:xfrm>
                    <a:prstGeom prst="rect">
                      <a:avLst/>
                    </a:prstGeom>
                  </pic:spPr>
                </pic:pic>
              </a:graphicData>
            </a:graphic>
          </wp:inline>
        </w:drawing>
      </w:r>
    </w:p>
    <w:p w:rsidR="00CD2162" w:rsidRPr="00B97D27" w:rsidRDefault="00B97D27">
      <w:pPr>
        <w:spacing w:before="40" w:after="160"/>
        <w:rPr>
          <w:rFonts w:ascii="Times New Roman" w:hAnsi="Times New Roman" w:cs="Times New Roman"/>
        </w:rPr>
      </w:pPr>
      <w:r w:rsidRPr="00B97D27">
        <w:rPr>
          <w:rFonts w:ascii="Times New Roman" w:hAnsi="Times New Roman" w:cs="Times New Roman"/>
          <w:i/>
          <w:iCs/>
          <w:sz w:val="16"/>
          <w:szCs w:val="16"/>
        </w:rPr>
        <w:t>Figure 4: NPV under the pessimistic, base and optimistic scenarios.</w:t>
      </w:r>
    </w:p>
    <w:p w:rsidR="00CD2162" w:rsidRPr="00B97D27" w:rsidRDefault="00B97D27">
      <w:pPr>
        <w:spacing w:after="120" w:line="288" w:lineRule="auto"/>
        <w:jc w:val="both"/>
        <w:rPr>
          <w:rFonts w:ascii="Times New Roman" w:hAnsi="Times New Roman" w:cs="Times New Roman"/>
        </w:rPr>
      </w:pPr>
      <w:r w:rsidRPr="00B97D27">
        <w:rPr>
          <w:rFonts w:ascii="Times New Roman" w:hAnsi="Times New Roman" w:cs="Times New Roman"/>
          <w:b/>
          <w:bCs/>
        </w:rPr>
        <w:t>Interpretation.</w:t>
      </w:r>
      <w:r w:rsidRPr="00B97D27">
        <w:rPr>
          <w:rFonts w:ascii="Times New Roman" w:hAnsi="Times New Roman" w:cs="Times New Roman"/>
        </w:rPr>
        <w:t xml:space="preserve"> The outcomes are very asymmetric. The optimistic case produces an NPV of ₹46.34 lakh and a payback near 2.1 years, but the pessimistic case produces an NPV of </w:t>
      </w:r>
      <w:r w:rsidRPr="00B97D27">
        <w:rPr>
          <w:rFonts w:ascii="Times New Roman" w:hAnsi="Times New Roman" w:cs="Times New Roman"/>
          <w:b/>
          <w:bCs/>
        </w:rPr>
        <w:t>−₹48.92 lakh</w:t>
      </w:r>
      <w:r w:rsidRPr="00B97D27">
        <w:rPr>
          <w:rFonts w:ascii="Times New Roman" w:hAnsi="Times New Roman" w:cs="Times New Roman"/>
        </w:rPr>
        <w:t xml:space="preserve"> with an operating loss in Year 5 (EBITDA −₹3.03 lakh). The reason is operating leverage: with fixed costs of ₹24.6 lakh in Year 1, a combined fall in volume and price removes the whole contribution margin. We did not model the owner closing the café early to stop losses, so the pessimistic NPV overstates the true loss; but it correctly signals that a bad outcome is far larger than the base-case gain.</w:t>
      </w:r>
    </w:p>
    <w:p w:rsidR="00CD2162" w:rsidRPr="00B97D27" w:rsidRDefault="00B97D27">
      <w:pPr>
        <w:pStyle w:val="Heading2"/>
        <w:keepNext/>
        <w:spacing w:before="200" w:after="100"/>
        <w:rPr>
          <w:rFonts w:ascii="Times New Roman" w:hAnsi="Times New Roman" w:cs="Times New Roman"/>
          <w:color w:val="auto"/>
        </w:rPr>
      </w:pPr>
      <w:r w:rsidRPr="00B97D27">
        <w:rPr>
          <w:rFonts w:ascii="Times New Roman" w:hAnsi="Times New Roman" w:cs="Times New Roman"/>
          <w:b/>
          <w:bCs/>
          <w:color w:val="auto"/>
          <w:sz w:val="24"/>
          <w:szCs w:val="24"/>
        </w:rPr>
        <w:t>10.2 Sensitivity</w:t>
      </w:r>
    </w:p>
    <w:p w:rsidR="00CD2162" w:rsidRPr="00B97D27" w:rsidRDefault="00B97D27">
      <w:pPr>
        <w:spacing w:after="120" w:line="288" w:lineRule="auto"/>
        <w:jc w:val="both"/>
        <w:rPr>
          <w:rFonts w:ascii="Times New Roman" w:hAnsi="Times New Roman" w:cs="Times New Roman"/>
        </w:rPr>
      </w:pPr>
      <w:r w:rsidRPr="00B97D27">
        <w:rPr>
          <w:rFonts w:ascii="Times New Roman" w:hAnsi="Times New Roman" w:cs="Times New Roman"/>
        </w:rPr>
        <w:t>Sensitivity changes one variable at a time by ±10% and ±20%, holding the others at base. The table shows NPV in ₹ lakh.</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726"/>
        <w:gridCol w:w="1260"/>
        <w:gridCol w:w="1260"/>
        <w:gridCol w:w="1260"/>
        <w:gridCol w:w="1260"/>
        <w:gridCol w:w="1260"/>
      </w:tblGrid>
      <w:tr w:rsidR="00CD2162" w:rsidRPr="00B97D27">
        <w:trPr>
          <w:cantSplit/>
          <w:tblHeader/>
        </w:trPr>
        <w:tc>
          <w:tcPr>
            <w:tcW w:w="27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7"/>
                <w:szCs w:val="17"/>
              </w:rPr>
              <w:t>Variable</w:t>
            </w:r>
          </w:p>
        </w:tc>
        <w:tc>
          <w:tcPr>
            <w:tcW w:w="12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7"/>
                <w:szCs w:val="17"/>
              </w:rPr>
              <w:t>−20%</w:t>
            </w:r>
          </w:p>
        </w:tc>
        <w:tc>
          <w:tcPr>
            <w:tcW w:w="12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7"/>
                <w:szCs w:val="17"/>
              </w:rPr>
              <w:t>−10%</w:t>
            </w:r>
          </w:p>
        </w:tc>
        <w:tc>
          <w:tcPr>
            <w:tcW w:w="12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7"/>
                <w:szCs w:val="17"/>
              </w:rPr>
              <w:t>Base</w:t>
            </w:r>
          </w:p>
        </w:tc>
        <w:tc>
          <w:tcPr>
            <w:tcW w:w="12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7"/>
                <w:szCs w:val="17"/>
              </w:rPr>
              <w:t>+10%</w:t>
            </w:r>
          </w:p>
        </w:tc>
        <w:tc>
          <w:tcPr>
            <w:tcW w:w="12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7"/>
                <w:szCs w:val="17"/>
              </w:rPr>
              <w:t>+20%</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Selling price</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(32.03)</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(14.23)</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2.03</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17.50</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32.39</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Sales volume</w:t>
            </w:r>
          </w:p>
        </w:tc>
        <w:tc>
          <w:tcPr>
            <w:tcW w:w="12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(18.93)</w:t>
            </w:r>
          </w:p>
        </w:tc>
        <w:tc>
          <w:tcPr>
            <w:tcW w:w="12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(8.21)</w:t>
            </w:r>
          </w:p>
        </w:tc>
        <w:tc>
          <w:tcPr>
            <w:tcW w:w="12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2.03</w:t>
            </w:r>
          </w:p>
        </w:tc>
        <w:tc>
          <w:tcPr>
            <w:tcW w:w="12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12.13</w:t>
            </w:r>
          </w:p>
        </w:tc>
        <w:tc>
          <w:tcPr>
            <w:tcW w:w="12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21.68</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Variable cost</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13.32</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7.70</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2.03</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(3.64)</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(9.53)</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7"/>
                <w:szCs w:val="17"/>
              </w:rPr>
              <w:t>Fixed cost</w:t>
            </w:r>
          </w:p>
        </w:tc>
        <w:tc>
          <w:tcPr>
            <w:tcW w:w="12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16.91</w:t>
            </w:r>
          </w:p>
        </w:tc>
        <w:tc>
          <w:tcPr>
            <w:tcW w:w="12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9.73</w:t>
            </w:r>
          </w:p>
        </w:tc>
        <w:tc>
          <w:tcPr>
            <w:tcW w:w="12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2.03</w:t>
            </w:r>
          </w:p>
        </w:tc>
        <w:tc>
          <w:tcPr>
            <w:tcW w:w="12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(5.69)</w:t>
            </w:r>
          </w:p>
        </w:tc>
        <w:tc>
          <w:tcPr>
            <w:tcW w:w="126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7"/>
                <w:szCs w:val="17"/>
              </w:rPr>
              <w:t>(13.90)</w:t>
            </w:r>
          </w:p>
        </w:tc>
      </w:tr>
      <w:tr w:rsidR="00CD2162" w:rsidRPr="00B97D27">
        <w:trPr>
          <w:cantSplit/>
        </w:trPr>
        <w:tc>
          <w:tcPr>
            <w:tcW w:w="27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7"/>
                <w:szCs w:val="17"/>
              </w:rPr>
              <w:t>Discount rate</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sz w:val="17"/>
                <w:szCs w:val="17"/>
              </w:rPr>
              <w:t>5.08</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sz w:val="17"/>
                <w:szCs w:val="17"/>
              </w:rPr>
              <w:t>3.51</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sz w:val="17"/>
                <w:szCs w:val="17"/>
              </w:rPr>
              <w:t>2.03</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sz w:val="17"/>
                <w:szCs w:val="17"/>
              </w:rPr>
              <w:t>0.64</w:t>
            </w:r>
          </w:p>
        </w:tc>
        <w:tc>
          <w:tcPr>
            <w:tcW w:w="126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sz w:val="17"/>
                <w:szCs w:val="17"/>
              </w:rPr>
              <w:t>(0.67)</w:t>
            </w:r>
          </w:p>
        </w:tc>
      </w:tr>
    </w:tbl>
    <w:p w:rsidR="00CD2162" w:rsidRPr="00B97D27" w:rsidRDefault="00B97D27">
      <w:pPr>
        <w:spacing w:before="40" w:after="160"/>
        <w:rPr>
          <w:rFonts w:ascii="Times New Roman" w:hAnsi="Times New Roman" w:cs="Times New Roman"/>
        </w:rPr>
      </w:pPr>
      <w:r w:rsidRPr="00B97D27">
        <w:rPr>
          <w:rFonts w:ascii="Times New Roman" w:hAnsi="Times New Roman" w:cs="Times New Roman"/>
          <w:i/>
          <w:iCs/>
          <w:sz w:val="16"/>
          <w:szCs w:val="16"/>
        </w:rPr>
        <w:t>Source: sheet 19_Sensitivity (NPV, ₹ lakh). Discount-rate row flexes the WACC by ±10% and ±20% of its value.</w:t>
      </w:r>
    </w:p>
    <w:p w:rsidR="00CD2162" w:rsidRPr="00B97D27" w:rsidRDefault="00B97D27">
      <w:pPr>
        <w:keepNext/>
        <w:spacing w:before="80" w:after="40"/>
        <w:jc w:val="center"/>
        <w:rPr>
          <w:rFonts w:ascii="Times New Roman" w:hAnsi="Times New Roman" w:cs="Times New Roman"/>
        </w:rPr>
      </w:pPr>
      <w:r w:rsidRPr="00B97D27">
        <w:rPr>
          <w:rFonts w:ascii="Times New Roman" w:hAnsi="Times New Roman" w:cs="Times New Roman"/>
          <w:noProof/>
        </w:rPr>
        <w:lastRenderedPageBreak/>
        <w:drawing>
          <wp:inline distT="0" distB="0" distL="0" distR="0">
            <wp:extent cx="5143500" cy="2333625"/>
            <wp:effectExtent l="0" t="0" r="0" b="0"/>
            <wp:docPr id="5" name="Figure 5" descr="Char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333625"/>
                    </a:xfrm>
                    <a:prstGeom prst="rect">
                      <a:avLst/>
                    </a:prstGeom>
                  </pic:spPr>
                </pic:pic>
              </a:graphicData>
            </a:graphic>
          </wp:inline>
        </w:drawing>
      </w:r>
    </w:p>
    <w:p w:rsidR="00CD2162" w:rsidRPr="00B97D27" w:rsidRDefault="00B97D27">
      <w:pPr>
        <w:spacing w:before="40" w:after="160"/>
        <w:rPr>
          <w:rFonts w:ascii="Times New Roman" w:hAnsi="Times New Roman" w:cs="Times New Roman"/>
        </w:rPr>
      </w:pPr>
      <w:r w:rsidRPr="00B97D27">
        <w:rPr>
          <w:rFonts w:ascii="Times New Roman" w:hAnsi="Times New Roman" w:cs="Times New Roman"/>
          <w:i/>
          <w:iCs/>
          <w:sz w:val="16"/>
          <w:szCs w:val="16"/>
        </w:rPr>
        <w:t>Figure 5: Tornado chart. The wider the bar, the more that variable moves NPV.</w:t>
      </w:r>
    </w:p>
    <w:p w:rsidR="00CD2162" w:rsidRPr="00B97D27" w:rsidRDefault="00B97D27">
      <w:pPr>
        <w:pStyle w:val="Heading2"/>
        <w:keepNext/>
        <w:spacing w:before="200" w:after="100"/>
        <w:rPr>
          <w:rFonts w:ascii="Times New Roman" w:hAnsi="Times New Roman" w:cs="Times New Roman"/>
          <w:color w:val="auto"/>
        </w:rPr>
      </w:pPr>
      <w:r w:rsidRPr="00B97D27">
        <w:rPr>
          <w:rFonts w:ascii="Times New Roman" w:hAnsi="Times New Roman" w:cs="Times New Roman"/>
          <w:b/>
          <w:bCs/>
          <w:color w:val="auto"/>
          <w:sz w:val="24"/>
          <w:szCs w:val="24"/>
        </w:rPr>
        <w:t>10.3 Which variables matter most</w:t>
      </w:r>
    </w:p>
    <w:p w:rsidR="00CD2162" w:rsidRPr="00B97D27" w:rsidRDefault="00B97D27">
      <w:pPr>
        <w:spacing w:after="120" w:line="288" w:lineRule="auto"/>
        <w:jc w:val="both"/>
        <w:rPr>
          <w:rFonts w:ascii="Times New Roman" w:hAnsi="Times New Roman" w:cs="Times New Roman"/>
        </w:rPr>
      </w:pPr>
      <w:r w:rsidRPr="00B97D27">
        <w:rPr>
          <w:rFonts w:ascii="Times New Roman" w:hAnsi="Times New Roman" w:cs="Times New Roman"/>
        </w:rPr>
        <w:t xml:space="preserve">Ranked by swing in NPV, </w:t>
      </w:r>
      <w:r w:rsidRPr="00B97D27">
        <w:rPr>
          <w:rFonts w:ascii="Times New Roman" w:hAnsi="Times New Roman" w:cs="Times New Roman"/>
          <w:b/>
          <w:bCs/>
        </w:rPr>
        <w:t>Selling price</w:t>
      </w:r>
      <w:r w:rsidRPr="00B97D27">
        <w:rPr>
          <w:rFonts w:ascii="Times New Roman" w:hAnsi="Times New Roman" w:cs="Times New Roman"/>
        </w:rPr>
        <w:t xml:space="preserve"> is the most sensitive variable, followed by sales volume, variable cost, fixed cost and finally the discount rate. A useful way to read this is how far each variable can move against us before the NPV reaches zero:</w:t>
      </w:r>
    </w:p>
    <w:p w:rsidR="00CD2162" w:rsidRPr="00B97D27" w:rsidRDefault="00B97D27">
      <w:pPr>
        <w:pStyle w:val="ListParagraph"/>
        <w:numPr>
          <w:ilvl w:val="0"/>
          <w:numId w:val="2"/>
        </w:numPr>
        <w:spacing w:after="70" w:line="276" w:lineRule="auto"/>
        <w:rPr>
          <w:rFonts w:ascii="Times New Roman" w:hAnsi="Times New Roman" w:cs="Times New Roman"/>
        </w:rPr>
      </w:pPr>
      <w:r w:rsidRPr="00B97D27">
        <w:rPr>
          <w:rFonts w:ascii="Times New Roman" w:hAnsi="Times New Roman" w:cs="Times New Roman"/>
          <w:b/>
          <w:bCs/>
        </w:rPr>
        <w:t>Selling price:</w:t>
      </w:r>
      <w:r w:rsidRPr="00B97D27">
        <w:rPr>
          <w:rFonts w:ascii="Times New Roman" w:hAnsi="Times New Roman" w:cs="Times New Roman"/>
        </w:rPr>
        <w:t xml:space="preserve"> NPV turns negative if prices are only about </w:t>
      </w:r>
      <w:r w:rsidRPr="00B97D27">
        <w:rPr>
          <w:rFonts w:ascii="Times New Roman" w:hAnsi="Times New Roman" w:cs="Times New Roman"/>
          <w:b/>
          <w:bCs/>
        </w:rPr>
        <w:t>1.2%</w:t>
      </w:r>
      <w:r w:rsidRPr="00B97D27">
        <w:rPr>
          <w:rFonts w:ascii="Times New Roman" w:hAnsi="Times New Roman" w:cs="Times New Roman"/>
        </w:rPr>
        <w:t xml:space="preserve"> lower than planned.</w:t>
      </w:r>
    </w:p>
    <w:p w:rsidR="00CD2162" w:rsidRPr="00B97D27" w:rsidRDefault="00B97D27">
      <w:pPr>
        <w:pStyle w:val="ListParagraph"/>
        <w:numPr>
          <w:ilvl w:val="0"/>
          <w:numId w:val="2"/>
        </w:numPr>
        <w:spacing w:after="70" w:line="276" w:lineRule="auto"/>
        <w:rPr>
          <w:rFonts w:ascii="Times New Roman" w:hAnsi="Times New Roman" w:cs="Times New Roman"/>
        </w:rPr>
      </w:pPr>
      <w:r w:rsidRPr="00B97D27">
        <w:rPr>
          <w:rFonts w:ascii="Times New Roman" w:hAnsi="Times New Roman" w:cs="Times New Roman"/>
          <w:b/>
          <w:bCs/>
        </w:rPr>
        <w:t>Sales volume:</w:t>
      </w:r>
      <w:r w:rsidRPr="00B97D27">
        <w:rPr>
          <w:rFonts w:ascii="Times New Roman" w:hAnsi="Times New Roman" w:cs="Times New Roman"/>
        </w:rPr>
        <w:t xml:space="preserve"> NPV turns negative if customers are about </w:t>
      </w:r>
      <w:r w:rsidRPr="00B97D27">
        <w:rPr>
          <w:rFonts w:ascii="Times New Roman" w:hAnsi="Times New Roman" w:cs="Times New Roman"/>
          <w:b/>
          <w:bCs/>
        </w:rPr>
        <w:t>2.0%</w:t>
      </w:r>
      <w:r w:rsidRPr="00B97D27">
        <w:rPr>
          <w:rFonts w:ascii="Times New Roman" w:hAnsi="Times New Roman" w:cs="Times New Roman"/>
        </w:rPr>
        <w:t xml:space="preserve"> fewer than planned.</w:t>
      </w:r>
    </w:p>
    <w:p w:rsidR="00CD2162" w:rsidRPr="00B97D27" w:rsidRDefault="00B97D27">
      <w:pPr>
        <w:pStyle w:val="ListParagraph"/>
        <w:numPr>
          <w:ilvl w:val="0"/>
          <w:numId w:val="2"/>
        </w:numPr>
        <w:spacing w:after="70" w:line="276" w:lineRule="auto"/>
        <w:rPr>
          <w:rFonts w:ascii="Times New Roman" w:hAnsi="Times New Roman" w:cs="Times New Roman"/>
        </w:rPr>
      </w:pPr>
      <w:r w:rsidRPr="00B97D27">
        <w:rPr>
          <w:rFonts w:ascii="Times New Roman" w:hAnsi="Times New Roman" w:cs="Times New Roman"/>
          <w:b/>
          <w:bCs/>
        </w:rPr>
        <w:t>Fixed costs:</w:t>
      </w:r>
      <w:r w:rsidRPr="00B97D27">
        <w:rPr>
          <w:rFonts w:ascii="Times New Roman" w:hAnsi="Times New Roman" w:cs="Times New Roman"/>
        </w:rPr>
        <w:t xml:space="preserve"> NPV turns negative if fixed costs are about </w:t>
      </w:r>
      <w:r w:rsidRPr="00B97D27">
        <w:rPr>
          <w:rFonts w:ascii="Times New Roman" w:hAnsi="Times New Roman" w:cs="Times New Roman"/>
          <w:b/>
          <w:bCs/>
        </w:rPr>
        <w:t>2.6%</w:t>
      </w:r>
      <w:r w:rsidRPr="00B97D27">
        <w:rPr>
          <w:rFonts w:ascii="Times New Roman" w:hAnsi="Times New Roman" w:cs="Times New Roman"/>
        </w:rPr>
        <w:t xml:space="preserve"> higher (for example, rent or payroll).</w:t>
      </w:r>
    </w:p>
    <w:p w:rsidR="00CD2162" w:rsidRPr="00B97D27" w:rsidRDefault="00B97D27">
      <w:pPr>
        <w:pStyle w:val="ListParagraph"/>
        <w:numPr>
          <w:ilvl w:val="0"/>
          <w:numId w:val="2"/>
        </w:numPr>
        <w:spacing w:after="70" w:line="276" w:lineRule="auto"/>
        <w:rPr>
          <w:rFonts w:ascii="Times New Roman" w:hAnsi="Times New Roman" w:cs="Times New Roman"/>
        </w:rPr>
      </w:pPr>
      <w:r w:rsidRPr="00B97D27">
        <w:rPr>
          <w:rFonts w:ascii="Times New Roman" w:hAnsi="Times New Roman" w:cs="Times New Roman"/>
          <w:b/>
          <w:bCs/>
        </w:rPr>
        <w:t>Variable cost:</w:t>
      </w:r>
      <w:r w:rsidRPr="00B97D27">
        <w:rPr>
          <w:rFonts w:ascii="Times New Roman" w:hAnsi="Times New Roman" w:cs="Times New Roman"/>
        </w:rPr>
        <w:t xml:space="preserve"> NPV turns negative if food and packaging costs are about </w:t>
      </w:r>
      <w:r w:rsidRPr="00B97D27">
        <w:rPr>
          <w:rFonts w:ascii="Times New Roman" w:hAnsi="Times New Roman" w:cs="Times New Roman"/>
          <w:b/>
          <w:bCs/>
        </w:rPr>
        <w:t>3.6%</w:t>
      </w:r>
      <w:r w:rsidRPr="00B97D27">
        <w:rPr>
          <w:rFonts w:ascii="Times New Roman" w:hAnsi="Times New Roman" w:cs="Times New Roman"/>
        </w:rPr>
        <w:t xml:space="preserve"> higher.</w:t>
      </w:r>
    </w:p>
    <w:p w:rsidR="00CD2162" w:rsidRPr="00B97D27" w:rsidRDefault="00B97D27">
      <w:pPr>
        <w:spacing w:after="120" w:line="288" w:lineRule="auto"/>
        <w:jc w:val="both"/>
        <w:rPr>
          <w:rFonts w:ascii="Times New Roman" w:hAnsi="Times New Roman" w:cs="Times New Roman"/>
        </w:rPr>
      </w:pPr>
      <w:r w:rsidRPr="00B97D27">
        <w:rPr>
          <w:rFonts w:ascii="Times New Roman" w:hAnsi="Times New Roman" w:cs="Times New Roman"/>
        </w:rPr>
        <w:t>These cushions are small. The discount rate matters least, so the uncertainty in our cost-of-capital assumptions is not the main concern; the real uncertainty sits in price, footfall and costs, which is why those are the inputs we propose to firm up first.</w:t>
      </w:r>
    </w:p>
    <w:p w:rsidR="00CD2162" w:rsidRPr="00B97D27" w:rsidRDefault="00B97D27">
      <w:pPr>
        <w:pStyle w:val="Heading1"/>
        <w:keepNext/>
        <w:pBdr>
          <w:bottom w:val="single" w:sz="8" w:space="4" w:color="1F3864"/>
        </w:pBdr>
        <w:spacing w:before="240" w:after="160"/>
        <w:rPr>
          <w:rFonts w:ascii="Times New Roman" w:hAnsi="Times New Roman" w:cs="Times New Roman"/>
          <w:color w:val="auto"/>
        </w:rPr>
      </w:pPr>
      <w:r w:rsidRPr="00B97D27">
        <w:rPr>
          <w:rFonts w:ascii="Times New Roman" w:hAnsi="Times New Roman" w:cs="Times New Roman"/>
          <w:b/>
          <w:bCs/>
          <w:color w:val="auto"/>
        </w:rPr>
        <w:t>11. Investment Recommendation</w:t>
      </w:r>
    </w:p>
    <w:p w:rsidR="00CD2162" w:rsidRPr="00B97D27" w:rsidRDefault="00B97D27">
      <w:pPr>
        <w:spacing w:after="120" w:line="288" w:lineRule="auto"/>
        <w:rPr>
          <w:rFonts w:ascii="Times New Roman" w:hAnsi="Times New Roman" w:cs="Times New Roman"/>
        </w:rPr>
      </w:pPr>
      <w:r w:rsidRPr="00B97D27">
        <w:rPr>
          <w:rFonts w:ascii="Times New Roman" w:hAnsi="Times New Roman" w:cs="Times New Roman"/>
          <w:b/>
          <w:bCs/>
          <w:sz w:val="26"/>
          <w:szCs w:val="26"/>
        </w:rPr>
        <w:t>Decision: Invest with Conditions.</w:t>
      </w:r>
    </w:p>
    <w:p w:rsidR="00CD2162" w:rsidRPr="00B97D27" w:rsidRDefault="00B97D27">
      <w:pPr>
        <w:pStyle w:val="Heading2"/>
        <w:keepNext/>
        <w:spacing w:before="200" w:after="100"/>
        <w:rPr>
          <w:rFonts w:ascii="Times New Roman" w:hAnsi="Times New Roman" w:cs="Times New Roman"/>
          <w:color w:val="auto"/>
        </w:rPr>
      </w:pPr>
      <w:r w:rsidRPr="00B97D27">
        <w:rPr>
          <w:rFonts w:ascii="Times New Roman" w:hAnsi="Times New Roman" w:cs="Times New Roman"/>
          <w:b/>
          <w:bCs/>
          <w:color w:val="auto"/>
          <w:sz w:val="24"/>
          <w:szCs w:val="24"/>
        </w:rPr>
        <w:t>11.1 Why not an unconditional "Invest"</w:t>
      </w:r>
    </w:p>
    <w:p w:rsidR="00CD2162" w:rsidRPr="00B97D27" w:rsidRDefault="00B97D27">
      <w:pPr>
        <w:pStyle w:val="ListParagraph"/>
        <w:numPr>
          <w:ilvl w:val="0"/>
          <w:numId w:val="2"/>
        </w:numPr>
        <w:spacing w:after="70" w:line="276" w:lineRule="auto"/>
        <w:rPr>
          <w:rFonts w:ascii="Times New Roman" w:hAnsi="Times New Roman" w:cs="Times New Roman"/>
        </w:rPr>
      </w:pPr>
      <w:r w:rsidRPr="00B97D27">
        <w:rPr>
          <w:rFonts w:ascii="Times New Roman" w:hAnsi="Times New Roman" w:cs="Times New Roman"/>
        </w:rPr>
        <w:t>The base case clears both tests (NPV ₹2.03 lakh &gt; 0; IRR 15.3% &gt; 13.3%), so the project is not a clear rejection.</w:t>
      </w:r>
    </w:p>
    <w:p w:rsidR="00CD2162" w:rsidRPr="00B97D27" w:rsidRDefault="00B97D27">
      <w:pPr>
        <w:pStyle w:val="ListParagraph"/>
        <w:numPr>
          <w:ilvl w:val="0"/>
          <w:numId w:val="2"/>
        </w:numPr>
        <w:spacing w:after="70" w:line="276" w:lineRule="auto"/>
        <w:rPr>
          <w:rFonts w:ascii="Times New Roman" w:hAnsi="Times New Roman" w:cs="Times New Roman"/>
        </w:rPr>
      </w:pPr>
      <w:r w:rsidRPr="00B97D27">
        <w:rPr>
          <w:rFonts w:ascii="Times New Roman" w:hAnsi="Times New Roman" w:cs="Times New Roman"/>
        </w:rPr>
        <w:t>The margin is thin: profitability index 1.07, IRR cushion of 2.0 points, payback 4.1 years, and Year-1 customers only 2.8% above break-even.</w:t>
      </w:r>
    </w:p>
    <w:p w:rsidR="00CD2162" w:rsidRPr="00B97D27" w:rsidRDefault="00B97D27">
      <w:pPr>
        <w:pStyle w:val="ListParagraph"/>
        <w:numPr>
          <w:ilvl w:val="0"/>
          <w:numId w:val="2"/>
        </w:numPr>
        <w:spacing w:after="70" w:line="276" w:lineRule="auto"/>
        <w:rPr>
          <w:rFonts w:ascii="Times New Roman" w:hAnsi="Times New Roman" w:cs="Times New Roman"/>
        </w:rPr>
      </w:pPr>
      <w:r w:rsidRPr="00B97D27">
        <w:rPr>
          <w:rFonts w:ascii="Times New Roman" w:hAnsi="Times New Roman" w:cs="Times New Roman"/>
        </w:rPr>
        <w:t>The downside is large: pessimistic NPV −₹48.92 lakh, and a price, volume or cost miss of only a few percent erases the base-case NPV.</w:t>
      </w:r>
    </w:p>
    <w:p w:rsidR="00CD2162" w:rsidRPr="00B97D27" w:rsidRDefault="00B97D27">
      <w:pPr>
        <w:pStyle w:val="ListParagraph"/>
        <w:numPr>
          <w:ilvl w:val="0"/>
          <w:numId w:val="2"/>
        </w:numPr>
        <w:spacing w:after="70" w:line="276" w:lineRule="auto"/>
        <w:rPr>
          <w:rFonts w:ascii="Times New Roman" w:hAnsi="Times New Roman" w:cs="Times New Roman"/>
        </w:rPr>
      </w:pPr>
      <w:r w:rsidRPr="00B97D27">
        <w:rPr>
          <w:rFonts w:ascii="Times New Roman" w:hAnsi="Times New Roman" w:cs="Times New Roman"/>
        </w:rPr>
        <w:t>Most key inputs (rent, capex, average bill, turns) are estimates, not quotations.</w:t>
      </w:r>
    </w:p>
    <w:p w:rsidR="00CD2162" w:rsidRPr="00B97D27" w:rsidRDefault="00B97D27">
      <w:pPr>
        <w:pStyle w:val="Heading2"/>
        <w:keepNext/>
        <w:spacing w:before="200" w:after="100"/>
        <w:rPr>
          <w:rFonts w:ascii="Times New Roman" w:hAnsi="Times New Roman" w:cs="Times New Roman"/>
          <w:color w:val="auto"/>
        </w:rPr>
      </w:pPr>
      <w:r w:rsidRPr="00B97D27">
        <w:rPr>
          <w:rFonts w:ascii="Times New Roman" w:hAnsi="Times New Roman" w:cs="Times New Roman"/>
          <w:b/>
          <w:bCs/>
          <w:color w:val="auto"/>
          <w:sz w:val="24"/>
          <w:szCs w:val="24"/>
        </w:rPr>
        <w:t>11.2 Why not "Do Not Invest"</w:t>
      </w:r>
    </w:p>
    <w:p w:rsidR="00CD2162" w:rsidRPr="00B97D27" w:rsidRDefault="00B97D27">
      <w:pPr>
        <w:spacing w:after="120" w:line="288" w:lineRule="auto"/>
        <w:jc w:val="both"/>
        <w:rPr>
          <w:rFonts w:ascii="Times New Roman" w:hAnsi="Times New Roman" w:cs="Times New Roman"/>
        </w:rPr>
      </w:pPr>
      <w:r w:rsidRPr="00B97D27">
        <w:rPr>
          <w:rFonts w:ascii="Times New Roman" w:hAnsi="Times New Roman" w:cs="Times New Roman"/>
        </w:rPr>
        <w:t>Operating performance improves strongly with scale, the café stays solvent throughout with the planned cash buffer, the loan is repaid inside the horizon, and the optimistic case is attractive. Rejecting outright would ignore a project that plausibly earns above its cost of capital. The right response to a thin, uncertain case is to reduce the uncertainty before committing.</w:t>
      </w:r>
    </w:p>
    <w:p w:rsidR="00CD2162" w:rsidRPr="00B97D27" w:rsidRDefault="00B97D27">
      <w:pPr>
        <w:pStyle w:val="Heading2"/>
        <w:keepNext/>
        <w:spacing w:before="200" w:after="100"/>
        <w:rPr>
          <w:rFonts w:ascii="Times New Roman" w:hAnsi="Times New Roman" w:cs="Times New Roman"/>
          <w:color w:val="auto"/>
        </w:rPr>
      </w:pPr>
      <w:r w:rsidRPr="00B97D27">
        <w:rPr>
          <w:rFonts w:ascii="Times New Roman" w:hAnsi="Times New Roman" w:cs="Times New Roman"/>
          <w:b/>
          <w:bCs/>
          <w:color w:val="auto"/>
          <w:sz w:val="24"/>
          <w:szCs w:val="24"/>
        </w:rPr>
        <w:lastRenderedPageBreak/>
        <w:t>11.3 Conditions for proceeding</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400"/>
        <w:gridCol w:w="2600"/>
        <w:gridCol w:w="3300"/>
        <w:gridCol w:w="2726"/>
      </w:tblGrid>
      <w:tr w:rsidR="00CD2162" w:rsidRPr="00B97D27">
        <w:trPr>
          <w:cantSplit/>
          <w:tblHeader/>
        </w:trPr>
        <w:tc>
          <w:tcPr>
            <w:tcW w:w="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Condition</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Threshold / test</w:t>
            </w:r>
          </w:p>
        </w:tc>
        <w:tc>
          <w:tcPr>
            <w:tcW w:w="27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Why it matters</w:t>
            </w:r>
          </w:p>
        </w:tc>
      </w:tr>
      <w:tr w:rsidR="00CD2162" w:rsidRPr="00B97D27">
        <w:trPr>
          <w:cantSplit/>
        </w:trPr>
        <w:tc>
          <w:tcPr>
            <w:tcW w:w="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sz w:val="16"/>
                <w:szCs w:val="16"/>
              </w:rPr>
              <w:t>1</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Firm up rent and capex with real quotes</w:t>
            </w:r>
          </w:p>
        </w:tc>
        <w:tc>
          <w:tcPr>
            <w:tcW w:w="3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Rent ≤ ₹90/sq ft; equipment, furniture, fit-out and POS ≤ ₹18.3 lakh combined</w:t>
            </w:r>
          </w:p>
        </w:tc>
        <w:tc>
          <w:tcPr>
            <w:tcW w:w="27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Fixed cost +2.6% or more removes the NPV</w:t>
            </w:r>
          </w:p>
        </w:tc>
      </w:tr>
      <w:tr w:rsidR="00CD2162" w:rsidRPr="00B97D27">
        <w:trPr>
          <w:cantSplit/>
        </w:trPr>
        <w:tc>
          <w:tcPr>
            <w:tcW w:w="4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sz w:val="16"/>
                <w:szCs w:val="16"/>
              </w:rPr>
              <w:t>2</w:t>
            </w:r>
          </w:p>
        </w:tc>
        <w:tc>
          <w:tcPr>
            <w:tcW w:w="26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Confirm the average bill from local competitor menus</w:t>
            </w:r>
          </w:p>
        </w:tc>
        <w:tc>
          <w:tcPr>
            <w:tcW w:w="33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Achievable average bill ≥ ₹160 before GST</w:t>
            </w:r>
          </w:p>
        </w:tc>
        <w:tc>
          <w:tcPr>
            <w:tcW w:w="27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Price is the most sensitive variable</w:t>
            </w:r>
          </w:p>
        </w:tc>
      </w:tr>
      <w:tr w:rsidR="00CD2162" w:rsidRPr="00B97D27">
        <w:trPr>
          <w:cantSplit/>
        </w:trPr>
        <w:tc>
          <w:tcPr>
            <w:tcW w:w="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sz w:val="16"/>
                <w:szCs w:val="16"/>
              </w:rPr>
              <w:t>3</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Validate demand before full fit-out</w:t>
            </w:r>
          </w:p>
        </w:tc>
        <w:tc>
          <w:tcPr>
            <w:tcW w:w="3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Evidence of ≥ 75 customers/day potential (footfall count, competitor occupancy)</w:t>
            </w:r>
          </w:p>
        </w:tc>
        <w:tc>
          <w:tcPr>
            <w:tcW w:w="27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Break-even is 73/day; cushion is small</w:t>
            </w:r>
          </w:p>
        </w:tc>
      </w:tr>
      <w:tr w:rsidR="00CD2162" w:rsidRPr="00B97D27">
        <w:trPr>
          <w:cantSplit/>
        </w:trPr>
        <w:tc>
          <w:tcPr>
            <w:tcW w:w="4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sz w:val="16"/>
                <w:szCs w:val="16"/>
              </w:rPr>
              <w:t>4</w:t>
            </w:r>
          </w:p>
        </w:tc>
        <w:tc>
          <w:tcPr>
            <w:tcW w:w="26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Control early costs</w:t>
            </w:r>
          </w:p>
        </w:tc>
        <w:tc>
          <w:tcPr>
            <w:tcW w:w="33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Hold staff at five; negotiate rent-free fit-out period or escalation</w:t>
            </w:r>
          </w:p>
        </w:tc>
        <w:tc>
          <w:tcPr>
            <w:tcW w:w="27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Fixed costs drive the early losses</w:t>
            </w:r>
          </w:p>
        </w:tc>
      </w:tr>
      <w:tr w:rsidR="00CD2162" w:rsidRPr="00B97D27">
        <w:trPr>
          <w:cantSplit/>
        </w:trPr>
        <w:tc>
          <w:tcPr>
            <w:tcW w:w="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sz w:val="16"/>
                <w:szCs w:val="16"/>
              </w:rPr>
              <w:t>5</w:t>
            </w:r>
          </w:p>
        </w:tc>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Monitor after opening</w:t>
            </w:r>
          </w:p>
        </w:tc>
        <w:tc>
          <w:tcPr>
            <w:tcW w:w="3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Review monthly; trigger a formal reassessment if customers/day stay below 73 for three consecutive months</w:t>
            </w:r>
          </w:p>
        </w:tc>
        <w:tc>
          <w:tcPr>
            <w:tcW w:w="27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Limits the time spent in the loss zone</w:t>
            </w:r>
          </w:p>
        </w:tc>
      </w:tr>
      <w:tr w:rsidR="00CD2162" w:rsidRPr="00B97D27">
        <w:trPr>
          <w:cantSplit/>
        </w:trPr>
        <w:tc>
          <w:tcPr>
            <w:tcW w:w="4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jc w:val="center"/>
              <w:rPr>
                <w:rFonts w:ascii="Times New Roman" w:hAnsi="Times New Roman" w:cs="Times New Roman"/>
              </w:rPr>
            </w:pPr>
            <w:r w:rsidRPr="00B97D27">
              <w:rPr>
                <w:rFonts w:ascii="Times New Roman" w:hAnsi="Times New Roman" w:cs="Times New Roman"/>
                <w:sz w:val="16"/>
                <w:szCs w:val="16"/>
              </w:rPr>
              <w:t>6</w:t>
            </w:r>
          </w:p>
        </w:tc>
        <w:tc>
          <w:tcPr>
            <w:tcW w:w="26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6"/>
                <w:szCs w:val="16"/>
              </w:rPr>
              <w:t>Pursue upside levers</w:t>
            </w:r>
          </w:p>
        </w:tc>
        <w:tc>
          <w:tcPr>
            <w:tcW w:w="33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6"/>
                <w:szCs w:val="16"/>
              </w:rPr>
              <w:t>Seek any available MSME/start-up support; test a higher-margin menu mix</w:t>
            </w:r>
          </w:p>
        </w:tc>
        <w:tc>
          <w:tcPr>
            <w:tcW w:w="27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6"/>
                <w:szCs w:val="16"/>
              </w:rPr>
              <w:t>Raises the cushion without raising risk</w:t>
            </w:r>
          </w:p>
        </w:tc>
      </w:tr>
    </w:tbl>
    <w:p w:rsidR="00CD2162" w:rsidRPr="00B97D27" w:rsidRDefault="00B97D27">
      <w:pPr>
        <w:spacing w:before="40" w:after="160"/>
        <w:rPr>
          <w:rFonts w:ascii="Times New Roman" w:hAnsi="Times New Roman" w:cs="Times New Roman"/>
        </w:rPr>
      </w:pPr>
      <w:r w:rsidRPr="00B97D27">
        <w:rPr>
          <w:rFonts w:ascii="Times New Roman" w:hAnsi="Times New Roman" w:cs="Times New Roman"/>
          <w:i/>
          <w:iCs/>
          <w:sz w:val="16"/>
          <w:szCs w:val="16"/>
        </w:rPr>
        <w:t>Source: derived from sheets 16_Appraisal, 17_Break_Even and 19_Sensitivity.</w:t>
      </w:r>
    </w:p>
    <w:p w:rsidR="00CD2162" w:rsidRPr="00B97D27" w:rsidRDefault="00B97D27">
      <w:pPr>
        <w:pStyle w:val="Heading2"/>
        <w:keepNext/>
        <w:spacing w:before="200" w:after="100"/>
        <w:rPr>
          <w:rFonts w:ascii="Times New Roman" w:hAnsi="Times New Roman" w:cs="Times New Roman"/>
          <w:color w:val="auto"/>
        </w:rPr>
      </w:pPr>
      <w:r w:rsidRPr="00B97D27">
        <w:rPr>
          <w:rFonts w:ascii="Times New Roman" w:hAnsi="Times New Roman" w:cs="Times New Roman"/>
          <w:b/>
          <w:bCs/>
          <w:color w:val="auto"/>
          <w:sz w:val="24"/>
          <w:szCs w:val="24"/>
        </w:rPr>
        <w:t>11.4 What would change the decision</w:t>
      </w:r>
    </w:p>
    <w:p w:rsidR="00CD2162" w:rsidRPr="00B97D27" w:rsidRDefault="00B97D27">
      <w:pPr>
        <w:pStyle w:val="ListParagraph"/>
        <w:numPr>
          <w:ilvl w:val="0"/>
          <w:numId w:val="2"/>
        </w:numPr>
        <w:spacing w:after="70" w:line="276" w:lineRule="auto"/>
        <w:rPr>
          <w:rFonts w:ascii="Times New Roman" w:hAnsi="Times New Roman" w:cs="Times New Roman"/>
        </w:rPr>
      </w:pPr>
      <w:r w:rsidRPr="00B97D27">
        <w:rPr>
          <w:rFonts w:ascii="Times New Roman" w:hAnsi="Times New Roman" w:cs="Times New Roman"/>
          <w:b/>
          <w:bCs/>
        </w:rPr>
        <w:t>To "Invest":</w:t>
      </w:r>
      <w:r w:rsidRPr="00B97D27">
        <w:rPr>
          <w:rFonts w:ascii="Times New Roman" w:hAnsi="Times New Roman" w:cs="Times New Roman"/>
        </w:rPr>
        <w:t xml:space="preserve"> documented quotes at or below the assumed costs, an average bill above ₹160, and evidence of footfall comfortably above 75 customers a day, so that the pessimistic NPV is no longer negative.</w:t>
      </w:r>
    </w:p>
    <w:p w:rsidR="00CD2162" w:rsidRPr="00B97D27" w:rsidRDefault="00B97D27">
      <w:pPr>
        <w:pStyle w:val="ListParagraph"/>
        <w:numPr>
          <w:ilvl w:val="0"/>
          <w:numId w:val="2"/>
        </w:numPr>
        <w:spacing w:after="70" w:line="276" w:lineRule="auto"/>
        <w:rPr>
          <w:rFonts w:ascii="Times New Roman" w:hAnsi="Times New Roman" w:cs="Times New Roman"/>
        </w:rPr>
      </w:pPr>
      <w:r w:rsidRPr="00B97D27">
        <w:rPr>
          <w:rFonts w:ascii="Times New Roman" w:hAnsi="Times New Roman" w:cs="Times New Roman"/>
          <w:b/>
          <w:bCs/>
        </w:rPr>
        <w:t>To "Do Not Invest":</w:t>
      </w:r>
      <w:r w:rsidRPr="00B97D27">
        <w:rPr>
          <w:rFonts w:ascii="Times New Roman" w:hAnsi="Times New Roman" w:cs="Times New Roman"/>
        </w:rPr>
        <w:t xml:space="preserve"> rent or capex well above the assumptions, evidence that competitors already saturate the local market, or an achievable average bill materially below ₹160.</w:t>
      </w:r>
    </w:p>
    <w:p w:rsidR="00CD2162" w:rsidRPr="00B97D27" w:rsidRDefault="00B97D27">
      <w:pPr>
        <w:pStyle w:val="Heading1"/>
        <w:keepNext/>
        <w:pBdr>
          <w:bottom w:val="single" w:sz="8" w:space="4" w:color="1F3864"/>
        </w:pBdr>
        <w:spacing w:before="240" w:after="160"/>
        <w:rPr>
          <w:rFonts w:ascii="Times New Roman" w:hAnsi="Times New Roman" w:cs="Times New Roman"/>
          <w:color w:val="auto"/>
        </w:rPr>
      </w:pPr>
      <w:r w:rsidRPr="00B97D27">
        <w:rPr>
          <w:rFonts w:ascii="Times New Roman" w:hAnsi="Times New Roman" w:cs="Times New Roman"/>
          <w:b/>
          <w:bCs/>
          <w:color w:val="auto"/>
        </w:rPr>
        <w:t>12. Risks &amp; Limitations</w:t>
      </w:r>
    </w:p>
    <w:p w:rsidR="00CD2162" w:rsidRPr="00B97D27" w:rsidRDefault="00B97D27">
      <w:pPr>
        <w:pStyle w:val="Heading2"/>
        <w:keepNext/>
        <w:spacing w:before="200" w:after="100"/>
        <w:rPr>
          <w:rFonts w:ascii="Times New Roman" w:hAnsi="Times New Roman" w:cs="Times New Roman"/>
          <w:color w:val="auto"/>
        </w:rPr>
      </w:pPr>
      <w:r w:rsidRPr="00B97D27">
        <w:rPr>
          <w:rFonts w:ascii="Times New Roman" w:hAnsi="Times New Roman" w:cs="Times New Roman"/>
          <w:b/>
          <w:bCs/>
          <w:color w:val="auto"/>
          <w:sz w:val="24"/>
          <w:szCs w:val="24"/>
        </w:rPr>
        <w:t>12.1 Risks</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900"/>
        <w:gridCol w:w="1150"/>
        <w:gridCol w:w="2300"/>
        <w:gridCol w:w="2676"/>
      </w:tblGrid>
      <w:tr w:rsidR="00CD2162" w:rsidRPr="00B97D27">
        <w:trPr>
          <w:cantSplit/>
          <w:tblHeader/>
        </w:trPr>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Risk</w:t>
            </w:r>
          </w:p>
        </w:tc>
        <w:tc>
          <w:tcPr>
            <w:tcW w:w="11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Type</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Effect</w:t>
            </w:r>
          </w:p>
        </w:tc>
        <w:tc>
          <w:tcPr>
            <w:tcW w:w="267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Mitigation</w:t>
            </w:r>
          </w:p>
        </w:tc>
      </w:tr>
      <w:tr w:rsidR="00CD2162" w:rsidRPr="00B97D27">
        <w:trPr>
          <w:cantSplit/>
        </w:trPr>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Footfall below plan (semester breaks, competitor opening)</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Commercial</w:t>
            </w:r>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Revenue and break-even; fixed costs unchanged</w:t>
            </w:r>
          </w:p>
        </w:tc>
        <w:tc>
          <w:tcPr>
            <w:tcW w:w="267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Pre-opening footfall check; student offers; flexible opening hours</w:t>
            </w:r>
          </w:p>
        </w:tc>
      </w:tr>
      <w:tr w:rsidR="00CD2162" w:rsidRPr="00B97D27">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Price pressure from nearby cafés and food platforms</w:t>
            </w:r>
          </w:p>
        </w:tc>
        <w:tc>
          <w:tcPr>
            <w:tcW w:w="11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Commercial</w:t>
            </w:r>
          </w:p>
        </w:tc>
        <w:tc>
          <w:tcPr>
            <w:tcW w:w="23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Lower average bill; most sensitive variable</w:t>
            </w:r>
          </w:p>
        </w:tc>
        <w:tc>
          <w:tcPr>
            <w:tcW w:w="267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Value combos; avoid deep discounting; monitor competitor menus</w:t>
            </w:r>
          </w:p>
        </w:tc>
      </w:tr>
      <w:tr w:rsidR="00CD2162" w:rsidRPr="00B97D27">
        <w:trPr>
          <w:cantSplit/>
        </w:trPr>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Food cost inflation and wastage</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Operational</w:t>
            </w:r>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Variable cost above 36%</w:t>
            </w:r>
          </w:p>
        </w:tc>
        <w:tc>
          <w:tcPr>
            <w:tcW w:w="267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Weekly inventory, small menu, supplier comparison</w:t>
            </w:r>
          </w:p>
        </w:tc>
      </w:tr>
      <w:tr w:rsidR="00CD2162" w:rsidRPr="00B97D27">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Rent escalation or lease termination</w:t>
            </w:r>
          </w:p>
        </w:tc>
        <w:tc>
          <w:tcPr>
            <w:tcW w:w="11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Operational</w:t>
            </w:r>
          </w:p>
        </w:tc>
        <w:tc>
          <w:tcPr>
            <w:tcW w:w="23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Fixed cost rise; fit-out stranded</w:t>
            </w:r>
          </w:p>
        </w:tc>
        <w:tc>
          <w:tcPr>
            <w:tcW w:w="267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Five-year lease with capped escalation</w:t>
            </w:r>
          </w:p>
        </w:tc>
      </w:tr>
      <w:tr w:rsidR="00CD2162" w:rsidRPr="00B97D27">
        <w:trPr>
          <w:cantSplit/>
        </w:trPr>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Staff turnover and service quality</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Operational</w:t>
            </w:r>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Lost customers; higher wages</w:t>
            </w:r>
          </w:p>
        </w:tc>
        <w:tc>
          <w:tcPr>
            <w:tcW w:w="267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Pay above minimum; training; owner-manager presence</w:t>
            </w:r>
          </w:p>
        </w:tc>
      </w:tr>
      <w:tr w:rsidR="00CD2162" w:rsidRPr="00B97D27">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Loan repayment in the loss-making early years</w:t>
            </w:r>
          </w:p>
        </w:tc>
        <w:tc>
          <w:tcPr>
            <w:tcW w:w="11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Financial</w:t>
            </w:r>
          </w:p>
        </w:tc>
        <w:tc>
          <w:tcPr>
            <w:tcW w:w="23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Cash stress in Year 1</w:t>
            </w:r>
          </w:p>
        </w:tc>
        <w:tc>
          <w:tcPr>
            <w:tcW w:w="267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Opening cash buffer; moratorium negotiation</w:t>
            </w:r>
          </w:p>
        </w:tc>
      </w:tr>
      <w:tr w:rsidR="00CD2162" w:rsidRPr="00B97D27">
        <w:trPr>
          <w:cantSplit/>
        </w:trPr>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Interest and discount rate rises</w:t>
            </w:r>
          </w:p>
        </w:tc>
        <w:tc>
          <w:tcPr>
            <w:tcW w:w="11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Financial</w:t>
            </w:r>
          </w:p>
        </w:tc>
        <w:tc>
          <w:tcPr>
            <w:tcW w:w="2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Lower NPV; higher interest</w:t>
            </w:r>
          </w:p>
        </w:tc>
        <w:tc>
          <w:tcPr>
            <w:tcW w:w="267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Fixed-rate loan; keep leverage at 50%</w:t>
            </w:r>
          </w:p>
        </w:tc>
      </w:tr>
      <w:tr w:rsidR="00CD2162" w:rsidRPr="00B97D27">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6"/>
                <w:szCs w:val="16"/>
              </w:rPr>
              <w:t>Regulatory (FSSAI, fire, local approvals)</w:t>
            </w:r>
          </w:p>
        </w:tc>
        <w:tc>
          <w:tcPr>
            <w:tcW w:w="115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6"/>
                <w:szCs w:val="16"/>
              </w:rPr>
              <w:t>Compliance</w:t>
            </w:r>
          </w:p>
        </w:tc>
        <w:tc>
          <w:tcPr>
            <w:tcW w:w="23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6"/>
                <w:szCs w:val="16"/>
              </w:rPr>
              <w:t>Delay or closure</w:t>
            </w:r>
          </w:p>
        </w:tc>
        <w:tc>
          <w:tcPr>
            <w:tcW w:w="267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6"/>
                <w:szCs w:val="16"/>
              </w:rPr>
              <w:t>Obtain licences before fit-out</w:t>
            </w:r>
          </w:p>
        </w:tc>
      </w:tr>
    </w:tbl>
    <w:p w:rsidR="00CD2162" w:rsidRPr="00B97D27" w:rsidRDefault="00B97D27">
      <w:pPr>
        <w:pStyle w:val="Heading2"/>
        <w:keepNext/>
        <w:spacing w:before="200" w:after="100"/>
        <w:rPr>
          <w:rFonts w:ascii="Times New Roman" w:hAnsi="Times New Roman" w:cs="Times New Roman"/>
          <w:color w:val="auto"/>
        </w:rPr>
      </w:pPr>
      <w:r w:rsidRPr="00B97D27">
        <w:rPr>
          <w:rFonts w:ascii="Times New Roman" w:hAnsi="Times New Roman" w:cs="Times New Roman"/>
          <w:b/>
          <w:bCs/>
          <w:color w:val="auto"/>
          <w:sz w:val="24"/>
          <w:szCs w:val="24"/>
        </w:rPr>
        <w:t>12.2 Limitations of the model</w:t>
      </w:r>
    </w:p>
    <w:p w:rsidR="00CD2162" w:rsidRPr="00B97D27" w:rsidRDefault="00B97D27">
      <w:pPr>
        <w:pStyle w:val="ListParagraph"/>
        <w:numPr>
          <w:ilvl w:val="0"/>
          <w:numId w:val="2"/>
        </w:numPr>
        <w:spacing w:after="70" w:line="276" w:lineRule="auto"/>
        <w:rPr>
          <w:rFonts w:ascii="Times New Roman" w:hAnsi="Times New Roman" w:cs="Times New Roman"/>
        </w:rPr>
      </w:pPr>
      <w:r w:rsidRPr="00B97D27">
        <w:rPr>
          <w:rFonts w:ascii="Times New Roman" w:hAnsi="Times New Roman" w:cs="Times New Roman"/>
          <w:b/>
          <w:bCs/>
        </w:rPr>
        <w:t>Estimated inputs.</w:t>
      </w:r>
      <w:r w:rsidRPr="00B97D27">
        <w:rPr>
          <w:rFonts w:ascii="Times New Roman" w:hAnsi="Times New Roman" w:cs="Times New Roman"/>
        </w:rPr>
        <w:t xml:space="preserve"> Rent, capex, average bill, food cost and utilisation are estimates; they are flagged in the workbook and tested in sensitivity, but not replaced by quotations.</w:t>
      </w:r>
    </w:p>
    <w:p w:rsidR="00CD2162" w:rsidRPr="00B97D27" w:rsidRDefault="00B97D27">
      <w:pPr>
        <w:pStyle w:val="ListParagraph"/>
        <w:numPr>
          <w:ilvl w:val="0"/>
          <w:numId w:val="2"/>
        </w:numPr>
        <w:spacing w:after="70" w:line="276" w:lineRule="auto"/>
        <w:rPr>
          <w:rFonts w:ascii="Times New Roman" w:hAnsi="Times New Roman" w:cs="Times New Roman"/>
        </w:rPr>
      </w:pPr>
      <w:r w:rsidRPr="00B97D27">
        <w:rPr>
          <w:rFonts w:ascii="Times New Roman" w:hAnsi="Times New Roman" w:cs="Times New Roman"/>
          <w:b/>
          <w:bCs/>
        </w:rPr>
        <w:t>Single outlet, averaged seasonality.</w:t>
      </w:r>
      <w:r w:rsidRPr="00B97D27">
        <w:rPr>
          <w:rFonts w:ascii="Times New Roman" w:hAnsi="Times New Roman" w:cs="Times New Roman"/>
        </w:rPr>
        <w:t xml:space="preserve"> The model uses annual averages and does not capture month-by-month swings tied to the academic calendar.</w:t>
      </w:r>
    </w:p>
    <w:p w:rsidR="00CD2162" w:rsidRPr="00B97D27" w:rsidRDefault="00B97D27">
      <w:pPr>
        <w:pStyle w:val="ListParagraph"/>
        <w:numPr>
          <w:ilvl w:val="0"/>
          <w:numId w:val="2"/>
        </w:numPr>
        <w:spacing w:after="70" w:line="276" w:lineRule="auto"/>
        <w:rPr>
          <w:rFonts w:ascii="Times New Roman" w:hAnsi="Times New Roman" w:cs="Times New Roman"/>
        </w:rPr>
      </w:pPr>
      <w:r w:rsidRPr="00B97D27">
        <w:rPr>
          <w:rFonts w:ascii="Times New Roman" w:hAnsi="Times New Roman" w:cs="Times New Roman"/>
          <w:b/>
          <w:bCs/>
        </w:rPr>
        <w:t>GST and platform commissions.</w:t>
      </w:r>
      <w:r w:rsidRPr="00B97D27">
        <w:rPr>
          <w:rFonts w:ascii="Times New Roman" w:hAnsi="Times New Roman" w:cs="Times New Roman"/>
        </w:rPr>
        <w:t xml:space="preserve"> Revenue is shown before GST. Commissions on food-delivery platforms are not modelled separately.</w:t>
      </w:r>
    </w:p>
    <w:p w:rsidR="00CD2162" w:rsidRPr="00B97D27" w:rsidRDefault="00B97D27">
      <w:pPr>
        <w:pStyle w:val="ListParagraph"/>
        <w:numPr>
          <w:ilvl w:val="0"/>
          <w:numId w:val="2"/>
        </w:numPr>
        <w:spacing w:after="70" w:line="276" w:lineRule="auto"/>
        <w:rPr>
          <w:rFonts w:ascii="Times New Roman" w:hAnsi="Times New Roman" w:cs="Times New Roman"/>
        </w:rPr>
      </w:pPr>
      <w:r w:rsidRPr="00B97D27">
        <w:rPr>
          <w:rFonts w:ascii="Times New Roman" w:hAnsi="Times New Roman" w:cs="Times New Roman"/>
          <w:b/>
          <w:bCs/>
        </w:rPr>
        <w:t>No loss carry-forward and no early exit.</w:t>
      </w:r>
      <w:r w:rsidRPr="00B97D27">
        <w:rPr>
          <w:rFonts w:ascii="Times New Roman" w:hAnsi="Times New Roman" w:cs="Times New Roman"/>
        </w:rPr>
        <w:t xml:space="preserve"> Both are conservative simplifications; the second makes the pessimistic scenario look worse than a real owner would allow.</w:t>
      </w:r>
    </w:p>
    <w:p w:rsidR="00CD2162" w:rsidRPr="00B97D27" w:rsidRDefault="00B97D27">
      <w:pPr>
        <w:pStyle w:val="ListParagraph"/>
        <w:numPr>
          <w:ilvl w:val="0"/>
          <w:numId w:val="2"/>
        </w:numPr>
        <w:spacing w:after="70" w:line="276" w:lineRule="auto"/>
        <w:rPr>
          <w:rFonts w:ascii="Times New Roman" w:hAnsi="Times New Roman" w:cs="Times New Roman"/>
        </w:rPr>
      </w:pPr>
      <w:r w:rsidRPr="00B97D27">
        <w:rPr>
          <w:rFonts w:ascii="Times New Roman" w:hAnsi="Times New Roman" w:cs="Times New Roman"/>
          <w:b/>
          <w:bCs/>
        </w:rPr>
        <w:lastRenderedPageBreak/>
        <w:t>Competition and cannibalisation are not modelled explicitly;</w:t>
      </w:r>
      <w:r w:rsidRPr="00B97D27">
        <w:rPr>
          <w:rFonts w:ascii="Times New Roman" w:hAnsi="Times New Roman" w:cs="Times New Roman"/>
        </w:rPr>
        <w:t xml:space="preserve"> they are reflected only through the volume and price sensitivities.</w:t>
      </w:r>
    </w:p>
    <w:p w:rsidR="00CD2162" w:rsidRPr="00B97D27" w:rsidRDefault="00B97D27">
      <w:pPr>
        <w:pStyle w:val="ListParagraph"/>
        <w:numPr>
          <w:ilvl w:val="0"/>
          <w:numId w:val="2"/>
        </w:numPr>
        <w:spacing w:after="70" w:line="276" w:lineRule="auto"/>
        <w:rPr>
          <w:rFonts w:ascii="Times New Roman" w:hAnsi="Times New Roman" w:cs="Times New Roman"/>
        </w:rPr>
      </w:pPr>
      <w:r w:rsidRPr="00B97D27">
        <w:rPr>
          <w:rFonts w:ascii="Times New Roman" w:hAnsi="Times New Roman" w:cs="Times New Roman"/>
          <w:b/>
          <w:bCs/>
        </w:rPr>
        <w:t>Terminal value is conservative</w:t>
      </w:r>
      <w:r w:rsidRPr="00B97D27">
        <w:rPr>
          <w:rFonts w:ascii="Times New Roman" w:hAnsi="Times New Roman" w:cs="Times New Roman"/>
        </w:rPr>
        <w:t xml:space="preserve"> (25% resale, no goodwill), which may understate a successful café.</w:t>
      </w:r>
    </w:p>
    <w:p w:rsidR="00CD2162" w:rsidRPr="00B97D27" w:rsidRDefault="00B97D27">
      <w:pPr>
        <w:pStyle w:val="Heading1"/>
        <w:keepNext/>
        <w:pBdr>
          <w:bottom w:val="single" w:sz="8" w:space="4" w:color="1F3864"/>
        </w:pBdr>
        <w:spacing w:before="240" w:after="160"/>
        <w:rPr>
          <w:rFonts w:ascii="Times New Roman" w:hAnsi="Times New Roman" w:cs="Times New Roman"/>
          <w:color w:val="auto"/>
        </w:rPr>
      </w:pPr>
      <w:r w:rsidRPr="00B97D27">
        <w:rPr>
          <w:rFonts w:ascii="Times New Roman" w:hAnsi="Times New Roman" w:cs="Times New Roman"/>
          <w:b/>
          <w:bCs/>
          <w:color w:val="auto"/>
        </w:rPr>
        <w:t>13. References</w:t>
      </w:r>
    </w:p>
    <w:p w:rsidR="00CD2162" w:rsidRPr="00B97D27" w:rsidRDefault="00B97D27">
      <w:pPr>
        <w:spacing w:after="80"/>
        <w:ind w:left="360" w:hanging="360"/>
        <w:rPr>
          <w:rFonts w:ascii="Times New Roman" w:hAnsi="Times New Roman" w:cs="Times New Roman"/>
        </w:rPr>
      </w:pPr>
      <w:r w:rsidRPr="00B97D27">
        <w:rPr>
          <w:rFonts w:ascii="Times New Roman" w:hAnsi="Times New Roman" w:cs="Times New Roman"/>
          <w:sz w:val="18"/>
          <w:szCs w:val="18"/>
        </w:rPr>
        <w:t>SRC-01  WageIndicator (2026). Minimum Wage, Punjab: Shops and Commercial Establishments Act schedule, effective 1 May 2026. wageindicator.org/en-in/ai/work-in-india/minimum-wage/20772-punjab/</w:t>
      </w:r>
    </w:p>
    <w:p w:rsidR="00CD2162" w:rsidRPr="00B97D27" w:rsidRDefault="00B97D27">
      <w:pPr>
        <w:spacing w:after="80"/>
        <w:ind w:left="360" w:hanging="360"/>
        <w:rPr>
          <w:rFonts w:ascii="Times New Roman" w:hAnsi="Times New Roman" w:cs="Times New Roman"/>
        </w:rPr>
      </w:pPr>
      <w:r w:rsidRPr="00B97D27">
        <w:rPr>
          <w:rFonts w:ascii="Times New Roman" w:hAnsi="Times New Roman" w:cs="Times New Roman"/>
          <w:sz w:val="18"/>
          <w:szCs w:val="18"/>
        </w:rPr>
        <w:t>SRC-02  The Tribune. No change in power tariff for domestic, commercial users (PSERC tariff order FY2025-26). tribuneindia.com</w:t>
      </w:r>
    </w:p>
    <w:p w:rsidR="00CD2162" w:rsidRPr="00B97D27" w:rsidRDefault="00B97D27">
      <w:pPr>
        <w:spacing w:after="80"/>
        <w:ind w:left="360" w:hanging="360"/>
        <w:rPr>
          <w:rFonts w:ascii="Times New Roman" w:hAnsi="Times New Roman" w:cs="Times New Roman"/>
        </w:rPr>
      </w:pPr>
      <w:r w:rsidRPr="00B97D27">
        <w:rPr>
          <w:rFonts w:ascii="Times New Roman" w:hAnsi="Times New Roman" w:cs="Times New Roman"/>
          <w:sz w:val="18"/>
          <w:szCs w:val="18"/>
        </w:rPr>
        <w:t>SRC-03  Babushahi / The Fact News. PSERC tariff order for FY2026-27 (6 March 2026). babushahi.com</w:t>
      </w:r>
    </w:p>
    <w:p w:rsidR="00CD2162" w:rsidRPr="00B97D27" w:rsidRDefault="00B97D27">
      <w:pPr>
        <w:spacing w:after="80"/>
        <w:ind w:left="360" w:hanging="360"/>
        <w:rPr>
          <w:rFonts w:ascii="Times New Roman" w:hAnsi="Times New Roman" w:cs="Times New Roman"/>
        </w:rPr>
      </w:pPr>
      <w:r w:rsidRPr="00B97D27">
        <w:rPr>
          <w:rFonts w:ascii="Times New Roman" w:hAnsi="Times New Roman" w:cs="Times New Roman"/>
          <w:sz w:val="18"/>
          <w:szCs w:val="18"/>
        </w:rPr>
        <w:t>SRC-04  Reserve Bank of India. Monetary Policy Committee decision, August 2026 (repo rate 5.25%); 5paisa summary of MPC schedule. 5paisa.com/blog/rbi-mpc-meeting-schedule</w:t>
      </w:r>
    </w:p>
    <w:p w:rsidR="00CD2162" w:rsidRPr="00B97D27" w:rsidRDefault="00B97D27">
      <w:pPr>
        <w:spacing w:after="80"/>
        <w:ind w:left="360" w:hanging="360"/>
        <w:rPr>
          <w:rFonts w:ascii="Times New Roman" w:hAnsi="Times New Roman" w:cs="Times New Roman"/>
        </w:rPr>
      </w:pPr>
      <w:r w:rsidRPr="00B97D27">
        <w:rPr>
          <w:rFonts w:ascii="Times New Roman" w:hAnsi="Times New Roman" w:cs="Times New Roman"/>
          <w:sz w:val="18"/>
          <w:szCs w:val="18"/>
        </w:rPr>
        <w:t>SRC-05  Trading Economics (15 September 2026). India 10-year yield climbs to near four-month high. tradingeconomics.com/india/government-bond-yield</w:t>
      </w:r>
    </w:p>
    <w:p w:rsidR="00CD2162" w:rsidRPr="00B97D27" w:rsidRDefault="00B97D27">
      <w:pPr>
        <w:spacing w:after="80"/>
        <w:ind w:left="360" w:hanging="360"/>
        <w:rPr>
          <w:rFonts w:ascii="Times New Roman" w:hAnsi="Times New Roman" w:cs="Times New Roman"/>
        </w:rPr>
      </w:pPr>
      <w:r w:rsidRPr="00B97D27">
        <w:rPr>
          <w:rFonts w:ascii="Times New Roman" w:hAnsi="Times New Roman" w:cs="Times New Roman"/>
          <w:sz w:val="18"/>
          <w:szCs w:val="18"/>
        </w:rPr>
        <w:t>SRC-06  Trading Economics (CPI, August 2026) and Akashvani (RBI first bi-monthly policy statement, FY2026-27). newsonair.gov.in</w:t>
      </w:r>
    </w:p>
    <w:p w:rsidR="00CD2162" w:rsidRPr="00B97D27" w:rsidRDefault="00B97D27">
      <w:pPr>
        <w:spacing w:after="80"/>
        <w:ind w:left="360" w:hanging="360"/>
        <w:rPr>
          <w:rFonts w:ascii="Times New Roman" w:hAnsi="Times New Roman" w:cs="Times New Roman"/>
        </w:rPr>
      </w:pPr>
      <w:r w:rsidRPr="00B97D27">
        <w:rPr>
          <w:rFonts w:ascii="Times New Roman" w:hAnsi="Times New Roman" w:cs="Times New Roman"/>
          <w:sz w:val="18"/>
          <w:szCs w:val="18"/>
        </w:rPr>
        <w:t>SRC-07  Careers360. Location of LPU Phagwara in Punjab (student strength, GT Road). careers360.com</w:t>
      </w:r>
    </w:p>
    <w:p w:rsidR="00CD2162" w:rsidRPr="00B97D27" w:rsidRDefault="00B97D27">
      <w:pPr>
        <w:spacing w:after="80"/>
        <w:ind w:left="360" w:hanging="360"/>
        <w:rPr>
          <w:rFonts w:ascii="Times New Roman" w:hAnsi="Times New Roman" w:cs="Times New Roman"/>
        </w:rPr>
      </w:pPr>
      <w:r w:rsidRPr="00B97D27">
        <w:rPr>
          <w:rFonts w:ascii="Times New Roman" w:hAnsi="Times New Roman" w:cs="Times New Roman"/>
          <w:sz w:val="18"/>
          <w:szCs w:val="18"/>
        </w:rPr>
        <w:t>SRC-08  Income Tax Department, Government of India. Concessional corporate tax regime, Section 115BAA. incometax.gov.in</w:t>
      </w:r>
    </w:p>
    <w:p w:rsidR="00CD2162" w:rsidRPr="00B97D27" w:rsidRDefault="00B97D27">
      <w:pPr>
        <w:spacing w:after="80"/>
        <w:ind w:left="360" w:hanging="360"/>
        <w:rPr>
          <w:rFonts w:ascii="Times New Roman" w:hAnsi="Times New Roman" w:cs="Times New Roman"/>
        </w:rPr>
      </w:pPr>
      <w:r w:rsidRPr="00B97D27">
        <w:rPr>
          <w:rFonts w:ascii="Times New Roman" w:hAnsi="Times New Roman" w:cs="Times New Roman"/>
          <w:sz w:val="18"/>
          <w:szCs w:val="18"/>
        </w:rPr>
        <w:t>SRC-09  FSSAI FoSCoS portal. Licence and registration fees. foscos.fssai.gov.in</w:t>
      </w:r>
    </w:p>
    <w:p w:rsidR="00CD2162" w:rsidRPr="00B97D27" w:rsidRDefault="00B97D27">
      <w:pPr>
        <w:spacing w:after="80"/>
        <w:ind w:left="360" w:hanging="360"/>
        <w:rPr>
          <w:rFonts w:ascii="Times New Roman" w:hAnsi="Times New Roman" w:cs="Times New Roman"/>
        </w:rPr>
      </w:pPr>
      <w:r w:rsidRPr="00B97D27">
        <w:rPr>
          <w:rFonts w:ascii="Times New Roman" w:hAnsi="Times New Roman" w:cs="Times New Roman"/>
          <w:sz w:val="18"/>
          <w:szCs w:val="18"/>
        </w:rPr>
        <w:t>SRC-10  General restaurant-industry cost benchmarks (food cost 28–35% of sales; supplier credit terms). Estimation basis.</w:t>
      </w:r>
    </w:p>
    <w:p w:rsidR="00CD2162" w:rsidRPr="00B97D27" w:rsidRDefault="00B97D27">
      <w:pPr>
        <w:spacing w:after="80"/>
        <w:ind w:left="360" w:hanging="360"/>
        <w:rPr>
          <w:rFonts w:ascii="Times New Roman" w:hAnsi="Times New Roman" w:cs="Times New Roman"/>
        </w:rPr>
      </w:pPr>
      <w:r w:rsidRPr="00B97D27">
        <w:rPr>
          <w:rFonts w:ascii="Times New Roman" w:hAnsi="Times New Roman" w:cs="Times New Roman"/>
          <w:sz w:val="18"/>
          <w:szCs w:val="18"/>
        </w:rPr>
        <w:t>SRC-11  IndiaMART supplier listings (café equipment, furniture, fit-out price ranges). indiamart.com. Estimation basis.</w:t>
      </w:r>
    </w:p>
    <w:p w:rsidR="00CD2162" w:rsidRPr="00B97D27" w:rsidRDefault="00B97D27">
      <w:pPr>
        <w:spacing w:after="80"/>
        <w:ind w:left="360" w:hanging="360"/>
        <w:rPr>
          <w:rFonts w:ascii="Times New Roman" w:hAnsi="Times New Roman" w:cs="Times New Roman"/>
        </w:rPr>
      </w:pPr>
      <w:r w:rsidRPr="00B97D27">
        <w:rPr>
          <w:rFonts w:ascii="Times New Roman" w:hAnsi="Times New Roman" w:cs="Times New Roman"/>
          <w:sz w:val="18"/>
          <w:szCs w:val="18"/>
        </w:rPr>
        <w:t>SRC-12  Local commercial rental market near LPU / GT Road (property listings). Estimation basis.</w:t>
      </w:r>
    </w:p>
    <w:p w:rsidR="00CD2162" w:rsidRPr="00B97D27" w:rsidRDefault="00B97D27">
      <w:pPr>
        <w:spacing w:after="80"/>
        <w:ind w:left="360" w:hanging="360"/>
        <w:rPr>
          <w:rFonts w:ascii="Times New Roman" w:hAnsi="Times New Roman" w:cs="Times New Roman"/>
        </w:rPr>
      </w:pPr>
      <w:r w:rsidRPr="00B97D27">
        <w:rPr>
          <w:rFonts w:ascii="Times New Roman" w:hAnsi="Times New Roman" w:cs="Times New Roman"/>
          <w:sz w:val="18"/>
          <w:szCs w:val="18"/>
        </w:rPr>
        <w:t>SRC-13  Zomato / Swiggy menus of cafés near LPU. Estimation basis.</w:t>
      </w:r>
    </w:p>
    <w:p w:rsidR="00CD2162" w:rsidRPr="00B97D27" w:rsidRDefault="00B97D27">
      <w:pPr>
        <w:spacing w:after="80"/>
        <w:ind w:left="360" w:hanging="360"/>
        <w:rPr>
          <w:rFonts w:ascii="Times New Roman" w:hAnsi="Times New Roman" w:cs="Times New Roman"/>
        </w:rPr>
      </w:pPr>
      <w:r w:rsidRPr="00B97D27">
        <w:rPr>
          <w:rFonts w:ascii="Times New Roman" w:hAnsi="Times New Roman" w:cs="Times New Roman"/>
          <w:sz w:val="18"/>
          <w:szCs w:val="18"/>
        </w:rPr>
        <w:t>SRC-14  Damodaran, A. Country risk premiums and CAPM inputs. pages.stern.nyu.edu/~adamodar/</w:t>
      </w:r>
    </w:p>
    <w:p w:rsidR="00CD2162" w:rsidRPr="00B97D27" w:rsidRDefault="00B97D27">
      <w:pPr>
        <w:spacing w:after="80"/>
        <w:ind w:left="360" w:hanging="360"/>
        <w:rPr>
          <w:rFonts w:ascii="Times New Roman" w:hAnsi="Times New Roman" w:cs="Times New Roman"/>
        </w:rPr>
      </w:pPr>
      <w:r w:rsidRPr="00B97D27">
        <w:rPr>
          <w:rFonts w:ascii="Times New Roman" w:hAnsi="Times New Roman" w:cs="Times New Roman"/>
          <w:sz w:val="18"/>
          <w:szCs w:val="18"/>
        </w:rPr>
        <w:t>SRC-15  State Bank of India. MSME term-loan terms. sbi.co.in. Estimation basis.</w:t>
      </w:r>
    </w:p>
    <w:p w:rsidR="00CD2162" w:rsidRPr="00B97D27" w:rsidRDefault="00B97D27">
      <w:pPr>
        <w:spacing w:after="120" w:line="288" w:lineRule="auto"/>
        <w:jc w:val="both"/>
        <w:rPr>
          <w:rFonts w:ascii="Times New Roman" w:hAnsi="Times New Roman" w:cs="Times New Roman"/>
        </w:rPr>
      </w:pPr>
      <w:r w:rsidRPr="00B97D27">
        <w:rPr>
          <w:rFonts w:ascii="Times New Roman" w:hAnsi="Times New Roman" w:cs="Times New Roman"/>
          <w:i/>
          <w:iCs/>
          <w:sz w:val="18"/>
          <w:szCs w:val="18"/>
        </w:rPr>
        <w:t>Entries marked "Estimation basis" were not formally cited as a single document; they are documented as estimates in the workbook with a suggested way to firm them up.</w:t>
      </w:r>
    </w:p>
    <w:p w:rsidR="00CD2162" w:rsidRPr="00B97D27" w:rsidRDefault="00B97D27">
      <w:pPr>
        <w:pStyle w:val="Heading1"/>
        <w:keepNext/>
        <w:pBdr>
          <w:bottom w:val="single" w:sz="8" w:space="4" w:color="1F3864"/>
        </w:pBdr>
        <w:spacing w:before="240" w:after="160"/>
        <w:rPr>
          <w:rFonts w:ascii="Times New Roman" w:hAnsi="Times New Roman" w:cs="Times New Roman"/>
          <w:color w:val="auto"/>
        </w:rPr>
      </w:pPr>
      <w:r w:rsidRPr="00B97D27">
        <w:rPr>
          <w:rFonts w:ascii="Times New Roman" w:hAnsi="Times New Roman" w:cs="Times New Roman"/>
          <w:b/>
          <w:bCs/>
          <w:color w:val="auto"/>
        </w:rPr>
        <w:t>14. Appendix</w:t>
      </w:r>
    </w:p>
    <w:p w:rsidR="00CD2162" w:rsidRPr="00B97D27" w:rsidRDefault="00B97D27">
      <w:pPr>
        <w:pStyle w:val="Heading2"/>
        <w:keepNext/>
        <w:spacing w:before="200" w:after="100"/>
        <w:rPr>
          <w:rFonts w:ascii="Times New Roman" w:hAnsi="Times New Roman" w:cs="Times New Roman"/>
          <w:color w:val="auto"/>
        </w:rPr>
      </w:pPr>
      <w:r w:rsidRPr="00B97D27">
        <w:rPr>
          <w:rFonts w:ascii="Times New Roman" w:hAnsi="Times New Roman" w:cs="Times New Roman"/>
          <w:b/>
          <w:bCs/>
          <w:color w:val="auto"/>
          <w:sz w:val="24"/>
          <w:szCs w:val="24"/>
        </w:rPr>
        <w:t>A. Quality assurance checks</w:t>
      </w:r>
    </w:p>
    <w:p w:rsidR="00CD2162" w:rsidRPr="00B97D27" w:rsidRDefault="00B97D27">
      <w:pPr>
        <w:keepNext/>
        <w:spacing w:after="120" w:line="288" w:lineRule="auto"/>
        <w:jc w:val="both"/>
        <w:rPr>
          <w:rFonts w:ascii="Times New Roman" w:hAnsi="Times New Roman" w:cs="Times New Roman"/>
        </w:rPr>
      </w:pPr>
      <w:r w:rsidRPr="00B97D27">
        <w:rPr>
          <w:rFonts w:ascii="Times New Roman" w:hAnsi="Times New Roman" w:cs="Times New Roman"/>
        </w:rPr>
        <w:t>The workbook contains automatic checks (sheet 22_QA_Viva). All twelve returned PASS at the time of writing.</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7000"/>
        <w:gridCol w:w="2026"/>
      </w:tblGrid>
      <w:tr w:rsidR="00CD2162" w:rsidRPr="00B97D27">
        <w:trPr>
          <w:cantSplit/>
          <w:tblHeader/>
        </w:trPr>
        <w:tc>
          <w:tcPr>
            <w:tcW w:w="7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Check</w:t>
            </w:r>
          </w:p>
        </w:tc>
        <w:tc>
          <w:tcPr>
            <w:tcW w:w="20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6"/>
                <w:szCs w:val="16"/>
              </w:rPr>
              <w:t>Result</w:t>
            </w:r>
          </w:p>
        </w:tc>
      </w:tr>
      <w:tr w:rsidR="00CD2162" w:rsidRPr="00B97D27">
        <w:trPr>
          <w:cantSplit/>
        </w:trPr>
        <w:tc>
          <w:tcPr>
            <w:tcW w:w="7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Funding equals investment</w:t>
            </w:r>
          </w:p>
        </w:tc>
        <w:tc>
          <w:tcPr>
            <w:tcW w:w="20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sz w:val="16"/>
                <w:szCs w:val="16"/>
              </w:rPr>
              <w:t>PASS</w:t>
            </w:r>
          </w:p>
        </w:tc>
      </w:tr>
      <w:tr w:rsidR="00CD2162" w:rsidRPr="00B97D27">
        <w:trPr>
          <w:cantSplit/>
        </w:trPr>
        <w:tc>
          <w:tcPr>
            <w:tcW w:w="70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Balance sheet balances in every year</w:t>
            </w:r>
          </w:p>
        </w:tc>
        <w:tc>
          <w:tcPr>
            <w:tcW w:w="20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sz w:val="16"/>
                <w:szCs w:val="16"/>
              </w:rPr>
              <w:t>PASS</w:t>
            </w:r>
          </w:p>
        </w:tc>
      </w:tr>
      <w:tr w:rsidR="00CD2162" w:rsidRPr="00B97D27">
        <w:trPr>
          <w:cantSplit/>
        </w:trPr>
        <w:tc>
          <w:tcPr>
            <w:tcW w:w="7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Debt fully repaid by end of tenor</w:t>
            </w:r>
          </w:p>
        </w:tc>
        <w:tc>
          <w:tcPr>
            <w:tcW w:w="20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sz w:val="16"/>
                <w:szCs w:val="16"/>
              </w:rPr>
              <w:t>PASS</w:t>
            </w:r>
          </w:p>
        </w:tc>
      </w:tr>
      <w:tr w:rsidR="00CD2162" w:rsidRPr="00B97D27">
        <w:trPr>
          <w:cantSplit/>
        </w:trPr>
        <w:tc>
          <w:tcPr>
            <w:tcW w:w="70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Depreciation in income statement equals asset schedule</w:t>
            </w:r>
          </w:p>
        </w:tc>
        <w:tc>
          <w:tcPr>
            <w:tcW w:w="20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sz w:val="16"/>
                <w:szCs w:val="16"/>
              </w:rPr>
              <w:t>PASS</w:t>
            </w:r>
          </w:p>
        </w:tc>
      </w:tr>
      <w:tr w:rsidR="00CD2162" w:rsidRPr="00B97D27">
        <w:trPr>
          <w:cantSplit/>
        </w:trPr>
        <w:tc>
          <w:tcPr>
            <w:tcW w:w="7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Closing cash equals balance-sheet cash</w:t>
            </w:r>
          </w:p>
        </w:tc>
        <w:tc>
          <w:tcPr>
            <w:tcW w:w="20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sz w:val="16"/>
                <w:szCs w:val="16"/>
              </w:rPr>
              <w:t>PASS</w:t>
            </w:r>
          </w:p>
        </w:tc>
      </w:tr>
      <w:tr w:rsidR="00CD2162" w:rsidRPr="00B97D27">
        <w:trPr>
          <w:cantSplit/>
        </w:trPr>
        <w:tc>
          <w:tcPr>
            <w:tcW w:w="70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Project FCF starts from EBIT (excludes interest and loan flows)</w:t>
            </w:r>
          </w:p>
        </w:tc>
        <w:tc>
          <w:tcPr>
            <w:tcW w:w="20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sz w:val="16"/>
                <w:szCs w:val="16"/>
              </w:rPr>
              <w:t>PASS</w:t>
            </w:r>
          </w:p>
        </w:tc>
      </w:tr>
      <w:tr w:rsidR="00CD2162" w:rsidRPr="00B97D27">
        <w:trPr>
          <w:cantSplit/>
        </w:trPr>
        <w:tc>
          <w:tcPr>
            <w:tcW w:w="7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NPV and IRR use the same FCF series</w:t>
            </w:r>
          </w:p>
        </w:tc>
        <w:tc>
          <w:tcPr>
            <w:tcW w:w="20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sz w:val="16"/>
                <w:szCs w:val="16"/>
              </w:rPr>
              <w:t>PASS</w:t>
            </w:r>
          </w:p>
        </w:tc>
      </w:tr>
      <w:tr w:rsidR="00CD2162" w:rsidRPr="00B97D27">
        <w:trPr>
          <w:cantSplit/>
        </w:trPr>
        <w:tc>
          <w:tcPr>
            <w:tcW w:w="70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NPV formula agrees with sum of present values</w:t>
            </w:r>
          </w:p>
        </w:tc>
        <w:tc>
          <w:tcPr>
            <w:tcW w:w="20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sz w:val="16"/>
                <w:szCs w:val="16"/>
              </w:rPr>
              <w:t>PASS</w:t>
            </w:r>
          </w:p>
        </w:tc>
      </w:tr>
      <w:tr w:rsidR="00CD2162" w:rsidRPr="00B97D27">
        <w:trPr>
          <w:cantSplit/>
        </w:trPr>
        <w:tc>
          <w:tcPr>
            <w:tcW w:w="7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Scenario base case equals model NPV</w:t>
            </w:r>
          </w:p>
        </w:tc>
        <w:tc>
          <w:tcPr>
            <w:tcW w:w="20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sz w:val="16"/>
                <w:szCs w:val="16"/>
              </w:rPr>
              <w:t>PASS</w:t>
            </w:r>
          </w:p>
        </w:tc>
      </w:tr>
      <w:tr w:rsidR="00CD2162" w:rsidRPr="00B97D27">
        <w:trPr>
          <w:cantSplit/>
        </w:trPr>
        <w:tc>
          <w:tcPr>
            <w:tcW w:w="70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Sensitivity base column equals model NPV</w:t>
            </w:r>
          </w:p>
        </w:tc>
        <w:tc>
          <w:tcPr>
            <w:tcW w:w="20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sz w:val="16"/>
                <w:szCs w:val="16"/>
              </w:rPr>
              <w:t>PASS</w:t>
            </w:r>
          </w:p>
        </w:tc>
      </w:tr>
      <w:tr w:rsidR="00CD2162" w:rsidRPr="00B97D27">
        <w:trPr>
          <w:cantSplit/>
        </w:trPr>
        <w:tc>
          <w:tcPr>
            <w:tcW w:w="7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Dashboard NPV equals appraisal NPV</w:t>
            </w:r>
          </w:p>
        </w:tc>
        <w:tc>
          <w:tcPr>
            <w:tcW w:w="20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sz w:val="16"/>
                <w:szCs w:val="16"/>
              </w:rPr>
              <w:t>PASS</w:t>
            </w:r>
          </w:p>
        </w:tc>
      </w:tr>
      <w:tr w:rsidR="00CD2162" w:rsidRPr="00B97D27">
        <w:trPr>
          <w:cantSplit/>
        </w:trPr>
        <w:tc>
          <w:tcPr>
            <w:tcW w:w="70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6"/>
                <w:szCs w:val="16"/>
              </w:rPr>
              <w:t>Contribution per customer is positive</w:t>
            </w:r>
          </w:p>
        </w:tc>
        <w:tc>
          <w:tcPr>
            <w:tcW w:w="20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jc w:val="center"/>
              <w:rPr>
                <w:rFonts w:ascii="Times New Roman" w:hAnsi="Times New Roman" w:cs="Times New Roman"/>
              </w:rPr>
            </w:pPr>
            <w:r w:rsidRPr="00B97D27">
              <w:rPr>
                <w:rFonts w:ascii="Times New Roman" w:hAnsi="Times New Roman" w:cs="Times New Roman"/>
                <w:sz w:val="16"/>
                <w:szCs w:val="16"/>
              </w:rPr>
              <w:t>PASS</w:t>
            </w:r>
          </w:p>
        </w:tc>
      </w:tr>
    </w:tbl>
    <w:p w:rsidR="00CD2162" w:rsidRPr="00B97D27" w:rsidRDefault="00B97D27">
      <w:pPr>
        <w:pStyle w:val="Heading2"/>
        <w:keepNext/>
        <w:spacing w:before="200" w:after="100"/>
        <w:rPr>
          <w:rFonts w:ascii="Times New Roman" w:hAnsi="Times New Roman" w:cs="Times New Roman"/>
          <w:color w:val="auto"/>
        </w:rPr>
      </w:pPr>
      <w:r w:rsidRPr="00B97D27">
        <w:rPr>
          <w:rFonts w:ascii="Times New Roman" w:hAnsi="Times New Roman" w:cs="Times New Roman"/>
          <w:b/>
          <w:bCs/>
          <w:color w:val="auto"/>
          <w:sz w:val="24"/>
          <w:szCs w:val="24"/>
        </w:rPr>
        <w:lastRenderedPageBreak/>
        <w:t>B. Present-value calculation</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326"/>
        <w:gridCol w:w="1100"/>
        <w:gridCol w:w="1100"/>
        <w:gridCol w:w="1100"/>
        <w:gridCol w:w="1100"/>
        <w:gridCol w:w="1100"/>
        <w:gridCol w:w="1200"/>
      </w:tblGrid>
      <w:tr w:rsidR="00CD2162" w:rsidRPr="00B97D27">
        <w:trPr>
          <w:cantSplit/>
          <w:tblHeader/>
        </w:trPr>
        <w:tc>
          <w:tcPr>
            <w:tcW w:w="23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CD2162">
            <w:pPr>
              <w:keepNext/>
              <w:rPr>
                <w:rFonts w:ascii="Times New Roman" w:hAnsi="Times New Roman" w:cs="Times New Roman"/>
              </w:rPr>
            </w:pP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6"/>
                <w:szCs w:val="16"/>
              </w:rPr>
              <w:t>Year 0</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6"/>
                <w:szCs w:val="16"/>
              </w:rPr>
              <w:t>Year 1</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6"/>
                <w:szCs w:val="16"/>
              </w:rPr>
              <w:t>Year 2</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6"/>
                <w:szCs w:val="16"/>
              </w:rPr>
              <w:t>Year 3</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6"/>
                <w:szCs w:val="16"/>
              </w:rPr>
              <w:t>Year 4</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jc w:val="center"/>
              <w:rPr>
                <w:rFonts w:ascii="Times New Roman" w:hAnsi="Times New Roman" w:cs="Times New Roman"/>
              </w:rPr>
            </w:pPr>
            <w:r w:rsidRPr="00B97D27">
              <w:rPr>
                <w:rFonts w:ascii="Times New Roman" w:hAnsi="Times New Roman" w:cs="Times New Roman"/>
                <w:b/>
                <w:bCs/>
                <w:sz w:val="16"/>
                <w:szCs w:val="16"/>
              </w:rPr>
              <w:t>Year 5</w:t>
            </w:r>
          </w:p>
        </w:tc>
      </w:tr>
      <w:tr w:rsidR="00CD2162" w:rsidRPr="00B97D27">
        <w:trPr>
          <w:cantSplit/>
        </w:trPr>
        <w:tc>
          <w:tcPr>
            <w:tcW w:w="23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Project FCF (₹ lakh)</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(29.30)</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0.62</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5.16</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9.35</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12.25</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24.05</w:t>
            </w:r>
          </w:p>
        </w:tc>
      </w:tr>
      <w:tr w:rsidR="00CD2162" w:rsidRPr="00B97D27">
        <w:trPr>
          <w:cantSplit/>
        </w:trPr>
        <w:tc>
          <w:tcPr>
            <w:tcW w:w="23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Discount factor at 13.29%</w:t>
            </w:r>
          </w:p>
        </w:tc>
        <w:tc>
          <w:tcPr>
            <w:tcW w:w="11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1.0000</w:t>
            </w:r>
          </w:p>
        </w:tc>
        <w:tc>
          <w:tcPr>
            <w:tcW w:w="11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0.8827</w:t>
            </w:r>
          </w:p>
        </w:tc>
        <w:tc>
          <w:tcPr>
            <w:tcW w:w="11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0.7791</w:t>
            </w:r>
          </w:p>
        </w:tc>
        <w:tc>
          <w:tcPr>
            <w:tcW w:w="11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0.6877</w:t>
            </w:r>
          </w:p>
        </w:tc>
        <w:tc>
          <w:tcPr>
            <w:tcW w:w="11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0.6070</w:t>
            </w:r>
          </w:p>
        </w:tc>
        <w:tc>
          <w:tcPr>
            <w:tcW w:w="12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jc w:val="right"/>
              <w:rPr>
                <w:rFonts w:ascii="Times New Roman" w:hAnsi="Times New Roman" w:cs="Times New Roman"/>
              </w:rPr>
            </w:pPr>
            <w:r w:rsidRPr="00B97D27">
              <w:rPr>
                <w:rFonts w:ascii="Times New Roman" w:hAnsi="Times New Roman" w:cs="Times New Roman"/>
                <w:sz w:val="16"/>
                <w:szCs w:val="16"/>
              </w:rPr>
              <w:t>0.5358</w:t>
            </w:r>
          </w:p>
        </w:tc>
      </w:tr>
      <w:tr w:rsidR="00CD2162" w:rsidRPr="00B97D27">
        <w:trPr>
          <w:cantSplit/>
        </w:trPr>
        <w:tc>
          <w:tcPr>
            <w:tcW w:w="23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6"/>
                <w:szCs w:val="16"/>
              </w:rPr>
              <w:t>Present value (₹ lakh)</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sz w:val="16"/>
                <w:szCs w:val="16"/>
              </w:rPr>
              <w:t>(29.30)</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sz w:val="16"/>
                <w:szCs w:val="16"/>
              </w:rPr>
              <w:t>0.55</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sz w:val="16"/>
                <w:szCs w:val="16"/>
              </w:rPr>
              <w:t>4.02</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sz w:val="16"/>
                <w:szCs w:val="16"/>
              </w:rPr>
              <w:t>6.43</w:t>
            </w:r>
          </w:p>
        </w:tc>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sz w:val="16"/>
                <w:szCs w:val="16"/>
              </w:rPr>
              <w:t>7.44</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jc w:val="right"/>
              <w:rPr>
                <w:rFonts w:ascii="Times New Roman" w:hAnsi="Times New Roman" w:cs="Times New Roman"/>
              </w:rPr>
            </w:pPr>
            <w:r w:rsidRPr="00B97D27">
              <w:rPr>
                <w:rFonts w:ascii="Times New Roman" w:hAnsi="Times New Roman" w:cs="Times New Roman"/>
                <w:sz w:val="16"/>
                <w:szCs w:val="16"/>
              </w:rPr>
              <w:t>12.89</w:t>
            </w:r>
          </w:p>
        </w:tc>
      </w:tr>
    </w:tbl>
    <w:p w:rsidR="00CD2162" w:rsidRPr="00B97D27" w:rsidRDefault="00B97D27">
      <w:pPr>
        <w:spacing w:before="40" w:after="160"/>
        <w:rPr>
          <w:rFonts w:ascii="Times New Roman" w:hAnsi="Times New Roman" w:cs="Times New Roman"/>
        </w:rPr>
      </w:pPr>
      <w:r w:rsidRPr="00B97D27">
        <w:rPr>
          <w:rFonts w:ascii="Times New Roman" w:hAnsi="Times New Roman" w:cs="Times New Roman"/>
          <w:i/>
          <w:iCs/>
          <w:sz w:val="16"/>
          <w:szCs w:val="16"/>
        </w:rPr>
        <w:t>Sum of present values = NPV = ₹2.03 lakh. Source: sheet 16_Appraisal.</w:t>
      </w:r>
    </w:p>
    <w:p w:rsidR="00CD2162" w:rsidRPr="00B97D27" w:rsidRDefault="00B97D27">
      <w:pPr>
        <w:pStyle w:val="Heading2"/>
        <w:keepNext/>
        <w:spacing w:before="200" w:after="100"/>
        <w:rPr>
          <w:rFonts w:ascii="Times New Roman" w:hAnsi="Times New Roman" w:cs="Times New Roman"/>
          <w:color w:val="auto"/>
        </w:rPr>
      </w:pPr>
      <w:r w:rsidRPr="00B97D27">
        <w:rPr>
          <w:rFonts w:ascii="Times New Roman" w:hAnsi="Times New Roman" w:cs="Times New Roman"/>
          <w:b/>
          <w:bCs/>
          <w:color w:val="auto"/>
          <w:sz w:val="24"/>
          <w:szCs w:val="24"/>
        </w:rPr>
        <w:t>C. Workbook map</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700"/>
        <w:gridCol w:w="7326"/>
      </w:tblGrid>
      <w:tr w:rsidR="00CD2162" w:rsidRPr="00B97D27">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Sheets</w:t>
            </w:r>
          </w:p>
        </w:tc>
        <w:tc>
          <w:tcPr>
            <w:tcW w:w="73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Contents</w:t>
            </w:r>
          </w:p>
        </w:tc>
      </w:tr>
      <w:tr w:rsidR="00CD2162" w:rsidRPr="00B97D2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00–03</w:t>
            </w:r>
          </w:p>
        </w:tc>
        <w:tc>
          <w:tcPr>
            <w:tcW w:w="73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Cover, project definition, data and source register, AI research log</w:t>
            </w:r>
          </w:p>
        </w:tc>
      </w:tr>
      <w:tr w:rsidR="00CD2162" w:rsidRPr="00B97D2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04</w:t>
            </w:r>
          </w:p>
        </w:tc>
        <w:tc>
          <w:tcPr>
            <w:tcW w:w="73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Assumption register (all inputs, with source, rationale and "if wrong" note)</w:t>
            </w:r>
          </w:p>
        </w:tc>
      </w:tr>
      <w:tr w:rsidR="00CD2162" w:rsidRPr="00B97D2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05–11</w:t>
            </w:r>
          </w:p>
        </w:tc>
        <w:tc>
          <w:tcPr>
            <w:tcW w:w="73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Operating drivers, investment and funding, revenue, costs, depreciation, debt, working capital</w:t>
            </w:r>
          </w:p>
        </w:tc>
      </w:tr>
      <w:tr w:rsidR="00CD2162" w:rsidRPr="00B97D2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12–14</w:t>
            </w:r>
          </w:p>
        </w:tc>
        <w:tc>
          <w:tcPr>
            <w:tcW w:w="73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Income statement, cash flow statement, balance sheet</w:t>
            </w:r>
          </w:p>
        </w:tc>
      </w:tr>
      <w:tr w:rsidR="00CD2162" w:rsidRPr="00B97D2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15–16</w:t>
            </w:r>
          </w:p>
        </w:tc>
        <w:tc>
          <w:tcPr>
            <w:tcW w:w="73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Project free cash flow; NPV, IRR, payback and decision</w:t>
            </w:r>
          </w:p>
        </w:tc>
      </w:tr>
      <w:tr w:rsidR="00CD2162" w:rsidRPr="00B97D2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17–19</w:t>
            </w:r>
          </w:p>
        </w:tc>
        <w:tc>
          <w:tcPr>
            <w:tcW w:w="73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Break-even, scenarios, sensitivity</w:t>
            </w:r>
          </w:p>
        </w:tc>
      </w:tr>
      <w:tr w:rsidR="00CD2162" w:rsidRPr="00B97D2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6"/>
                <w:szCs w:val="16"/>
              </w:rPr>
              <w:t>20–22</w:t>
            </w:r>
          </w:p>
        </w:tc>
        <w:tc>
          <w:tcPr>
            <w:tcW w:w="73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6"/>
                <w:szCs w:val="16"/>
              </w:rPr>
              <w:t>Dashboard, report outline, QA checks and viva preparation</w:t>
            </w:r>
          </w:p>
        </w:tc>
      </w:tr>
    </w:tbl>
    <w:p w:rsidR="00CD2162" w:rsidRPr="00B97D27" w:rsidRDefault="00B97D27">
      <w:pPr>
        <w:pStyle w:val="Heading2"/>
        <w:keepNext/>
        <w:spacing w:before="200" w:after="100"/>
        <w:rPr>
          <w:rFonts w:ascii="Times New Roman" w:hAnsi="Times New Roman" w:cs="Times New Roman"/>
          <w:color w:val="auto"/>
        </w:rPr>
      </w:pPr>
      <w:r w:rsidRPr="00B97D27">
        <w:rPr>
          <w:rFonts w:ascii="Times New Roman" w:hAnsi="Times New Roman" w:cs="Times New Roman"/>
          <w:b/>
          <w:bCs/>
          <w:color w:val="auto"/>
          <w:sz w:val="24"/>
          <w:szCs w:val="24"/>
        </w:rPr>
        <w:t>D. AI research log (summary)</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100"/>
        <w:gridCol w:w="1700"/>
        <w:gridCol w:w="3000"/>
        <w:gridCol w:w="3226"/>
      </w:tblGrid>
      <w:tr w:rsidR="00CD2162" w:rsidRPr="00B97D27">
        <w:trPr>
          <w:cantSplit/>
          <w:tblHeader/>
        </w:trPr>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Date</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Tool</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Task</w:t>
            </w:r>
          </w:p>
        </w:tc>
        <w:tc>
          <w:tcPr>
            <w:tcW w:w="322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b/>
                <w:bCs/>
                <w:sz w:val="16"/>
                <w:szCs w:val="16"/>
              </w:rPr>
              <w:t>Verification</w:t>
            </w:r>
          </w:p>
        </w:tc>
      </w:tr>
      <w:tr w:rsidR="00CD2162" w:rsidRPr="00B97D27">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30/09/2026</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Claude (Anthropic)</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Explained the assignment brief; compared project options</w:t>
            </w:r>
          </w:p>
        </w:tc>
        <w:tc>
          <w:tcPr>
            <w:tcW w:w="32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Checked against the faculty manual; EV hub rejected as too complex</w:t>
            </w:r>
          </w:p>
        </w:tc>
      </w:tr>
      <w:tr w:rsidR="00CD2162" w:rsidRPr="00B97D27">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30/09/2026</w:t>
            </w:r>
          </w:p>
        </w:tc>
        <w:tc>
          <w:tcPr>
            <w:tcW w:w="17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Claude (Anthropic)</w:t>
            </w:r>
          </w:p>
        </w:tc>
        <w:tc>
          <w:tcPr>
            <w:tcW w:w="30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Searched Punjab minimum wages</w:t>
            </w:r>
          </w:p>
        </w:tc>
        <w:tc>
          <w:tcPr>
            <w:tcW w:w="32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Matched to WageIndicator reproduction of the state notification</w:t>
            </w:r>
          </w:p>
        </w:tc>
      </w:tr>
      <w:tr w:rsidR="00CD2162" w:rsidRPr="00B97D27">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30/09/2026</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Claude (Anthropic)</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Searched PSERC commercial electricity tariff</w:t>
            </w:r>
          </w:p>
        </w:tc>
        <w:tc>
          <w:tcPr>
            <w:tcW w:w="32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Matched to The Tribune and Babushahi reports; conservative ₹7.2 used</w:t>
            </w:r>
          </w:p>
        </w:tc>
      </w:tr>
      <w:tr w:rsidR="00CD2162" w:rsidRPr="00B97D27">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30/09/2026</w:t>
            </w:r>
          </w:p>
        </w:tc>
        <w:tc>
          <w:tcPr>
            <w:tcW w:w="17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Claude (Anthropic)</w:t>
            </w:r>
          </w:p>
        </w:tc>
        <w:tc>
          <w:tcPr>
            <w:tcW w:w="3000"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Searched repo rate, 10-year yield, CPI</w:t>
            </w:r>
          </w:p>
        </w:tc>
        <w:tc>
          <w:tcPr>
            <w:tcW w:w="3226" w:type="dxa"/>
            <w:tcBorders>
              <w:top w:val="single" w:sz="4" w:space="0" w:color="BFBFBF"/>
              <w:left w:val="single" w:sz="4" w:space="0" w:color="BFBFBF"/>
              <w:bottom w:val="single" w:sz="4" w:space="0" w:color="BFBFBF"/>
              <w:right w:val="single" w:sz="4" w:space="0" w:color="BFBFBF"/>
            </w:tcBorders>
            <w:shd w:val="clear" w:color="auto" w:fill="F6F8FC"/>
            <w:tcMar>
              <w:top w:w="50" w:type="dxa"/>
              <w:left w:w="80" w:type="dxa"/>
              <w:bottom w:w="50" w:type="dxa"/>
              <w:right w:w="80" w:type="dxa"/>
            </w:tcMar>
            <w:vAlign w:val="center"/>
          </w:tcPr>
          <w:p w:rsidR="00CD2162" w:rsidRPr="00B97D27" w:rsidRDefault="00B97D27">
            <w:pPr>
              <w:keepNext/>
              <w:rPr>
                <w:rFonts w:ascii="Times New Roman" w:hAnsi="Times New Roman" w:cs="Times New Roman"/>
              </w:rPr>
            </w:pPr>
            <w:r w:rsidRPr="00B97D27">
              <w:rPr>
                <w:rFonts w:ascii="Times New Roman" w:hAnsi="Times New Roman" w:cs="Times New Roman"/>
                <w:sz w:val="16"/>
                <w:szCs w:val="16"/>
              </w:rPr>
              <w:t>Matched to RBI/5paisa and Trading Economics</w:t>
            </w:r>
          </w:p>
        </w:tc>
      </w:tr>
      <w:tr w:rsidR="00CD2162" w:rsidRPr="00B97D27">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6"/>
                <w:szCs w:val="16"/>
              </w:rPr>
              <w:t>30/09/2026</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6"/>
                <w:szCs w:val="16"/>
              </w:rPr>
              <w:t>Claude (Anthropic)</w:t>
            </w:r>
          </w:p>
        </w:tc>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6"/>
                <w:szCs w:val="16"/>
              </w:rPr>
              <w:t>Built the linked Excel model structure</w:t>
            </w:r>
          </w:p>
        </w:tc>
        <w:tc>
          <w:tcPr>
            <w:tcW w:w="322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rsidR="00CD2162" w:rsidRPr="00B97D27" w:rsidRDefault="00B97D27">
            <w:pPr>
              <w:rPr>
                <w:rFonts w:ascii="Times New Roman" w:hAnsi="Times New Roman" w:cs="Times New Roman"/>
              </w:rPr>
            </w:pPr>
            <w:r w:rsidRPr="00B97D27">
              <w:rPr>
                <w:rFonts w:ascii="Times New Roman" w:hAnsi="Times New Roman" w:cs="Times New Roman"/>
                <w:sz w:val="16"/>
                <w:szCs w:val="16"/>
              </w:rPr>
              <w:t>Twelve automatic checks pass; estimated inputs flagged, not presented as facts</w:t>
            </w:r>
          </w:p>
        </w:tc>
      </w:tr>
    </w:tbl>
    <w:p w:rsidR="00CD2162" w:rsidRPr="00B97D27" w:rsidRDefault="00B97D27">
      <w:pPr>
        <w:spacing w:before="40" w:after="160"/>
        <w:rPr>
          <w:rFonts w:ascii="Times New Roman" w:hAnsi="Times New Roman" w:cs="Times New Roman"/>
        </w:rPr>
      </w:pPr>
      <w:r w:rsidRPr="00B97D27">
        <w:rPr>
          <w:rFonts w:ascii="Times New Roman" w:hAnsi="Times New Roman" w:cs="Times New Roman"/>
          <w:i/>
          <w:iCs/>
          <w:sz w:val="16"/>
          <w:szCs w:val="16"/>
        </w:rPr>
        <w:t>Source: sheet 03_AI_Research_Log. Add any other tool use by group members.</w:t>
      </w:r>
    </w:p>
    <w:sectPr w:rsidR="00CD2162" w:rsidRPr="00B97D27" w:rsidSect="00CD2162">
      <w:headerReference w:type="default" r:id="rId14"/>
      <w:footerReference w:type="default" r:id="rId15"/>
      <w:pgSz w:w="11906" w:h="16838"/>
      <w:pgMar w:top="1300" w:right="1440" w:bottom="120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2000F" w:rsidRDefault="0022000F" w:rsidP="00CD2162">
      <w:r>
        <w:separator/>
      </w:r>
    </w:p>
  </w:endnote>
  <w:endnote w:type="continuationSeparator" w:id="1">
    <w:p w:rsidR="0022000F" w:rsidRDefault="0022000F" w:rsidP="00CD2162">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7D27" w:rsidRDefault="00B97D27">
    <w:pPr>
      <w:jc w:val="center"/>
    </w:pPr>
    <w:r>
      <w:rPr>
        <w:color w:val="7F7F7F"/>
        <w:sz w:val="16"/>
        <w:szCs w:val="16"/>
      </w:rPr>
      <w:t xml:space="preserve">Page </w:t>
    </w:r>
    <w:r w:rsidR="00AD7FF2">
      <w:rPr>
        <w:color w:val="7F7F7F"/>
        <w:sz w:val="16"/>
        <w:szCs w:val="16"/>
      </w:rPr>
      <w:fldChar w:fldCharType="begin"/>
    </w:r>
    <w:r>
      <w:rPr>
        <w:color w:val="7F7F7F"/>
        <w:sz w:val="16"/>
        <w:szCs w:val="16"/>
      </w:rPr>
      <w:instrText>PAGE</w:instrText>
    </w:r>
    <w:r w:rsidR="00AD7FF2">
      <w:rPr>
        <w:color w:val="7F7F7F"/>
        <w:sz w:val="16"/>
        <w:szCs w:val="16"/>
      </w:rPr>
      <w:fldChar w:fldCharType="separate"/>
    </w:r>
    <w:r w:rsidR="00477973">
      <w:rPr>
        <w:noProof/>
        <w:color w:val="7F7F7F"/>
        <w:sz w:val="16"/>
        <w:szCs w:val="16"/>
      </w:rPr>
      <w:t>1</w:t>
    </w:r>
    <w:r w:rsidR="00AD7FF2">
      <w:rPr>
        <w:color w:val="7F7F7F"/>
        <w:sz w:val="16"/>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2000F" w:rsidRDefault="0022000F" w:rsidP="00CD2162">
      <w:r>
        <w:separator/>
      </w:r>
    </w:p>
  </w:footnote>
  <w:footnote w:type="continuationSeparator" w:id="1">
    <w:p w:rsidR="0022000F" w:rsidRDefault="0022000F" w:rsidP="00CD216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7D27" w:rsidRDefault="00B97D27">
    <w:pPr>
      <w:jc w:val="right"/>
      <w:rPr>
        <w:color w:val="7F7F7F"/>
        <w:sz w:val="15"/>
        <w:szCs w:val="15"/>
      </w:rPr>
    </w:pPr>
  </w:p>
  <w:p w:rsidR="00B97D27" w:rsidRDefault="00B97D27">
    <w:pPr>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B6303C"/>
    <w:multiLevelType w:val="hybridMultilevel"/>
    <w:tmpl w:val="768E9658"/>
    <w:lvl w:ilvl="0" w:tplc="194CC33C">
      <w:start w:val="1"/>
      <w:numFmt w:val="bullet"/>
      <w:lvlText w:val="●"/>
      <w:lvlJc w:val="left"/>
      <w:pPr>
        <w:ind w:left="720" w:hanging="360"/>
      </w:pPr>
    </w:lvl>
    <w:lvl w:ilvl="1" w:tplc="8CEEFF88">
      <w:start w:val="1"/>
      <w:numFmt w:val="bullet"/>
      <w:lvlText w:val="○"/>
      <w:lvlJc w:val="left"/>
      <w:pPr>
        <w:ind w:left="1440" w:hanging="360"/>
      </w:pPr>
    </w:lvl>
    <w:lvl w:ilvl="2" w:tplc="91FACFEE">
      <w:start w:val="1"/>
      <w:numFmt w:val="bullet"/>
      <w:lvlText w:val="■"/>
      <w:lvlJc w:val="left"/>
      <w:pPr>
        <w:ind w:left="2160" w:hanging="360"/>
      </w:pPr>
    </w:lvl>
    <w:lvl w:ilvl="3" w:tplc="5D96A2E4">
      <w:start w:val="1"/>
      <w:numFmt w:val="bullet"/>
      <w:lvlText w:val="●"/>
      <w:lvlJc w:val="left"/>
      <w:pPr>
        <w:ind w:left="2880" w:hanging="360"/>
      </w:pPr>
    </w:lvl>
    <w:lvl w:ilvl="4" w:tplc="9B1051A2">
      <w:start w:val="1"/>
      <w:numFmt w:val="bullet"/>
      <w:lvlText w:val="○"/>
      <w:lvlJc w:val="left"/>
      <w:pPr>
        <w:ind w:left="3600" w:hanging="360"/>
      </w:pPr>
    </w:lvl>
    <w:lvl w:ilvl="5" w:tplc="3ADEBF16">
      <w:start w:val="1"/>
      <w:numFmt w:val="bullet"/>
      <w:lvlText w:val="■"/>
      <w:lvlJc w:val="left"/>
      <w:pPr>
        <w:ind w:left="4320" w:hanging="360"/>
      </w:pPr>
    </w:lvl>
    <w:lvl w:ilvl="6" w:tplc="42D68820">
      <w:start w:val="1"/>
      <w:numFmt w:val="bullet"/>
      <w:lvlText w:val="●"/>
      <w:lvlJc w:val="left"/>
      <w:pPr>
        <w:ind w:left="5040" w:hanging="360"/>
      </w:pPr>
    </w:lvl>
    <w:lvl w:ilvl="7" w:tplc="D81C6C56">
      <w:start w:val="1"/>
      <w:numFmt w:val="bullet"/>
      <w:lvlText w:val="●"/>
      <w:lvlJc w:val="left"/>
      <w:pPr>
        <w:ind w:left="5760" w:hanging="360"/>
      </w:pPr>
    </w:lvl>
    <w:lvl w:ilvl="8" w:tplc="B52CF3D6">
      <w:start w:val="1"/>
      <w:numFmt w:val="bullet"/>
      <w:lvlText w:val="●"/>
      <w:lvlJc w:val="left"/>
      <w:pPr>
        <w:ind w:left="6480" w:hanging="360"/>
      </w:pPr>
    </w:lvl>
  </w:abstractNum>
  <w:abstractNum w:abstractNumId="1">
    <w:nsid w:val="78D14193"/>
    <w:multiLevelType w:val="hybridMultilevel"/>
    <w:tmpl w:val="EC4CA542"/>
    <w:lvl w:ilvl="0" w:tplc="66229E0E">
      <w:start w:val="1"/>
      <w:numFmt w:val="bullet"/>
      <w:lvlText w:val="•"/>
      <w:lvlJc w:val="left"/>
      <w:pPr>
        <w:ind w:left="540" w:hanging="270"/>
      </w:pPr>
    </w:lvl>
    <w:lvl w:ilvl="1" w:tplc="0E4E26AA">
      <w:numFmt w:val="decimal"/>
      <w:lvlText w:val=""/>
      <w:lvlJc w:val="left"/>
    </w:lvl>
    <w:lvl w:ilvl="2" w:tplc="A3043836">
      <w:numFmt w:val="decimal"/>
      <w:lvlText w:val=""/>
      <w:lvlJc w:val="left"/>
    </w:lvl>
    <w:lvl w:ilvl="3" w:tplc="D8805CA8">
      <w:numFmt w:val="decimal"/>
      <w:lvlText w:val=""/>
      <w:lvlJc w:val="left"/>
    </w:lvl>
    <w:lvl w:ilvl="4" w:tplc="F6745B0C">
      <w:numFmt w:val="decimal"/>
      <w:lvlText w:val=""/>
      <w:lvlJc w:val="left"/>
    </w:lvl>
    <w:lvl w:ilvl="5" w:tplc="5754996A">
      <w:numFmt w:val="decimal"/>
      <w:lvlText w:val=""/>
      <w:lvlJc w:val="left"/>
    </w:lvl>
    <w:lvl w:ilvl="6" w:tplc="F3EAE742">
      <w:numFmt w:val="decimal"/>
      <w:lvlText w:val=""/>
      <w:lvlJc w:val="left"/>
    </w:lvl>
    <w:lvl w:ilvl="7" w:tplc="5B6CAB06">
      <w:numFmt w:val="decimal"/>
      <w:lvlText w:val=""/>
      <w:lvlJc w:val="left"/>
    </w:lvl>
    <w:lvl w:ilvl="8" w:tplc="96022F3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displayBackgroundShape/>
  <w:defaultTabStop w:val="720"/>
  <w:characterSpacingControl w:val="doNotCompress"/>
  <w:footnotePr>
    <w:footnote w:id="0"/>
    <w:footnote w:id="1"/>
  </w:footnotePr>
  <w:endnotePr>
    <w:endnote w:id="0"/>
    <w:endnote w:id="1"/>
  </w:endnotePr>
  <w:compat/>
  <w:rsids>
    <w:rsidRoot w:val="00CD2162"/>
    <w:rsid w:val="00172489"/>
    <w:rsid w:val="0022000F"/>
    <w:rsid w:val="00335855"/>
    <w:rsid w:val="00477973"/>
    <w:rsid w:val="00794AEA"/>
    <w:rsid w:val="00AD7FF2"/>
    <w:rsid w:val="00B77EF6"/>
    <w:rsid w:val="00B97D27"/>
    <w:rsid w:val="00CD2162"/>
    <w:rsid w:val="00F61FB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1"/>
        <w:szCs w:val="21"/>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2489"/>
  </w:style>
  <w:style w:type="paragraph" w:styleId="Heading1">
    <w:name w:val="heading 1"/>
    <w:qFormat/>
    <w:rsid w:val="00CD2162"/>
    <w:pPr>
      <w:outlineLvl w:val="0"/>
    </w:pPr>
    <w:rPr>
      <w:color w:val="2E74B5"/>
      <w:sz w:val="32"/>
      <w:szCs w:val="32"/>
    </w:rPr>
  </w:style>
  <w:style w:type="paragraph" w:styleId="Heading2">
    <w:name w:val="heading 2"/>
    <w:qFormat/>
    <w:rsid w:val="00CD2162"/>
    <w:pPr>
      <w:outlineLvl w:val="1"/>
    </w:pPr>
    <w:rPr>
      <w:color w:val="2E74B5"/>
      <w:sz w:val="26"/>
      <w:szCs w:val="26"/>
    </w:rPr>
  </w:style>
  <w:style w:type="paragraph" w:styleId="Heading3">
    <w:name w:val="heading 3"/>
    <w:qFormat/>
    <w:rsid w:val="00CD2162"/>
    <w:pPr>
      <w:outlineLvl w:val="2"/>
    </w:pPr>
    <w:rPr>
      <w:color w:val="1F4D78"/>
      <w:sz w:val="24"/>
      <w:szCs w:val="24"/>
    </w:rPr>
  </w:style>
  <w:style w:type="paragraph" w:styleId="Heading4">
    <w:name w:val="heading 4"/>
    <w:qFormat/>
    <w:rsid w:val="00CD2162"/>
    <w:pPr>
      <w:outlineLvl w:val="3"/>
    </w:pPr>
    <w:rPr>
      <w:i/>
      <w:iCs/>
      <w:color w:val="2E74B5"/>
    </w:rPr>
  </w:style>
  <w:style w:type="paragraph" w:styleId="Heading5">
    <w:name w:val="heading 5"/>
    <w:qFormat/>
    <w:rsid w:val="00CD2162"/>
    <w:pPr>
      <w:outlineLvl w:val="4"/>
    </w:pPr>
    <w:rPr>
      <w:color w:val="2E74B5"/>
    </w:rPr>
  </w:style>
  <w:style w:type="paragraph" w:styleId="Heading6">
    <w:name w:val="heading 6"/>
    <w:qFormat/>
    <w:rsid w:val="00CD2162"/>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CD2162"/>
    <w:rPr>
      <w:sz w:val="56"/>
      <w:szCs w:val="56"/>
    </w:rPr>
  </w:style>
  <w:style w:type="paragraph" w:customStyle="1" w:styleId="Strong1">
    <w:name w:val="Strong1"/>
    <w:qFormat/>
    <w:rsid w:val="00CD2162"/>
    <w:rPr>
      <w:b/>
      <w:bCs/>
    </w:rPr>
  </w:style>
  <w:style w:type="paragraph" w:styleId="ListParagraph">
    <w:name w:val="List Paragraph"/>
    <w:qFormat/>
    <w:rsid w:val="00CD2162"/>
  </w:style>
  <w:style w:type="character" w:styleId="Hyperlink">
    <w:name w:val="Hyperlink"/>
    <w:uiPriority w:val="99"/>
    <w:unhideWhenUsed/>
    <w:rsid w:val="00CD2162"/>
    <w:rPr>
      <w:color w:val="0563C1"/>
      <w:u w:val="single"/>
    </w:rPr>
  </w:style>
  <w:style w:type="character" w:styleId="FootnoteReference">
    <w:name w:val="footnote reference"/>
    <w:uiPriority w:val="99"/>
    <w:semiHidden/>
    <w:unhideWhenUsed/>
    <w:rsid w:val="00CD2162"/>
    <w:rPr>
      <w:vertAlign w:val="superscript"/>
    </w:rPr>
  </w:style>
  <w:style w:type="paragraph" w:styleId="FootnoteText">
    <w:name w:val="footnote text"/>
    <w:link w:val="FootnoteTextChar"/>
    <w:uiPriority w:val="99"/>
    <w:semiHidden/>
    <w:unhideWhenUsed/>
    <w:rsid w:val="00CD2162"/>
    <w:rPr>
      <w:sz w:val="20"/>
      <w:szCs w:val="20"/>
    </w:rPr>
  </w:style>
  <w:style w:type="character" w:customStyle="1" w:styleId="FootnoteTextChar">
    <w:name w:val="Footnote Text Char"/>
    <w:link w:val="FootnoteText"/>
    <w:uiPriority w:val="99"/>
    <w:semiHidden/>
    <w:unhideWhenUsed/>
    <w:rsid w:val="00CD2162"/>
    <w:rPr>
      <w:sz w:val="20"/>
      <w:szCs w:val="20"/>
    </w:rPr>
  </w:style>
  <w:style w:type="character" w:styleId="EndnoteReference">
    <w:name w:val="endnote reference"/>
    <w:uiPriority w:val="99"/>
    <w:semiHidden/>
    <w:unhideWhenUsed/>
    <w:rsid w:val="00CD2162"/>
    <w:rPr>
      <w:vertAlign w:val="superscript"/>
    </w:rPr>
  </w:style>
  <w:style w:type="paragraph" w:styleId="EndnoteText">
    <w:name w:val="endnote text"/>
    <w:link w:val="EndnoteTextChar"/>
    <w:uiPriority w:val="99"/>
    <w:semiHidden/>
    <w:unhideWhenUsed/>
    <w:rsid w:val="00CD2162"/>
    <w:rPr>
      <w:sz w:val="20"/>
      <w:szCs w:val="20"/>
    </w:rPr>
  </w:style>
  <w:style w:type="character" w:customStyle="1" w:styleId="EndnoteTextChar">
    <w:name w:val="Endnote Text Char"/>
    <w:link w:val="EndnoteText"/>
    <w:uiPriority w:val="99"/>
    <w:semiHidden/>
    <w:unhideWhenUsed/>
    <w:rsid w:val="00CD2162"/>
    <w:rPr>
      <w:sz w:val="20"/>
      <w:szCs w:val="20"/>
    </w:rPr>
  </w:style>
  <w:style w:type="paragraph" w:styleId="Header">
    <w:name w:val="header"/>
    <w:basedOn w:val="Normal"/>
    <w:link w:val="HeaderChar"/>
    <w:uiPriority w:val="99"/>
    <w:semiHidden/>
    <w:unhideWhenUsed/>
    <w:rsid w:val="00B97D27"/>
    <w:pPr>
      <w:tabs>
        <w:tab w:val="center" w:pos="4680"/>
        <w:tab w:val="right" w:pos="9360"/>
      </w:tabs>
    </w:pPr>
  </w:style>
  <w:style w:type="character" w:customStyle="1" w:styleId="HeaderChar">
    <w:name w:val="Header Char"/>
    <w:basedOn w:val="DefaultParagraphFont"/>
    <w:link w:val="Header"/>
    <w:uiPriority w:val="99"/>
    <w:semiHidden/>
    <w:rsid w:val="00B97D27"/>
  </w:style>
  <w:style w:type="paragraph" w:styleId="Footer">
    <w:name w:val="footer"/>
    <w:basedOn w:val="Normal"/>
    <w:link w:val="FooterChar"/>
    <w:uiPriority w:val="99"/>
    <w:semiHidden/>
    <w:unhideWhenUsed/>
    <w:rsid w:val="00B97D27"/>
    <w:pPr>
      <w:tabs>
        <w:tab w:val="center" w:pos="4680"/>
        <w:tab w:val="right" w:pos="9360"/>
      </w:tabs>
    </w:pPr>
  </w:style>
  <w:style w:type="character" w:customStyle="1" w:styleId="FooterChar">
    <w:name w:val="Footer Char"/>
    <w:basedOn w:val="DefaultParagraphFont"/>
    <w:link w:val="Footer"/>
    <w:uiPriority w:val="99"/>
    <w:semiHidden/>
    <w:rsid w:val="00B97D27"/>
  </w:style>
  <w:style w:type="paragraph" w:styleId="BalloonText">
    <w:name w:val="Balloon Text"/>
    <w:basedOn w:val="Normal"/>
    <w:link w:val="BalloonTextChar"/>
    <w:uiPriority w:val="99"/>
    <w:semiHidden/>
    <w:unhideWhenUsed/>
    <w:rsid w:val="00335855"/>
    <w:rPr>
      <w:rFonts w:ascii="Tahoma" w:hAnsi="Tahoma" w:cs="Tahoma"/>
      <w:sz w:val="16"/>
      <w:szCs w:val="16"/>
    </w:rPr>
  </w:style>
  <w:style w:type="character" w:customStyle="1" w:styleId="BalloonTextChar">
    <w:name w:val="Balloon Text Char"/>
    <w:basedOn w:val="DefaultParagraphFont"/>
    <w:link w:val="BalloonText"/>
    <w:uiPriority w:val="99"/>
    <w:semiHidden/>
    <w:rsid w:val="00335855"/>
    <w:rPr>
      <w:rFonts w:ascii="Tahoma" w:hAnsi="Tahoma" w:cs="Tahoma"/>
      <w:sz w:val="16"/>
      <w:szCs w:val="16"/>
    </w:rPr>
  </w:style>
  <w:style w:type="character" w:styleId="FollowedHyperlink">
    <w:name w:val="FollowedHyperlink"/>
    <w:basedOn w:val="DefaultParagraphFont"/>
    <w:uiPriority w:val="99"/>
    <w:semiHidden/>
    <w:unhideWhenUsed/>
    <w:rsid w:val="00477973"/>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github.com/harleenkaur20243/Financial-Modelling.git"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www.linkedin.com/in/harleen-kaur-b376a0379"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17</Pages>
  <Words>5596</Words>
  <Characters>31900</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Campus Brew Café – Financial Feasibility &amp; Investment Decision Report</vt:lpstr>
    </vt:vector>
  </TitlesOfParts>
  <Company/>
  <LinksUpToDate>false</LinksUpToDate>
  <CharactersWithSpaces>37422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Brew Café – Financial Feasibility &amp; Investment Decision Report</dc:title>
  <dc:creator>FIN 545 Group</dc:creator>
  <cp:lastModifiedBy>Windows User</cp:lastModifiedBy>
  <cp:revision>4</cp:revision>
  <dcterms:created xsi:type="dcterms:W3CDTF">2026-10-01T08:42:00Z</dcterms:created>
  <dcterms:modified xsi:type="dcterms:W3CDTF">2026-10-01T10:31:00Z</dcterms:modified>
</cp:coreProperties>
</file>