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Amended Draft: Master Services Agreement for MegaCorp Global</w:t>
      </w:r>
    </w:p>
    <w:p>
      <w:r>
        <w:t>Deal Value: $4,500,000.00</w:t>
      </w:r>
    </w:p>
    <w:p>
      <w:r>
        <w:t>Contract Term: 48 months</w:t>
      </w:r>
    </w:p>
    <w:p>
      <w:pPr>
        <w:pStyle w:val="Heading1"/>
      </w:pPr>
      <w:r>
        <w:t>Redlined Terms</w:t>
      </w:r>
    </w:p>
    <w:p>
      <w:r>
        <w:t>Payment Terms: Net 30</w:t>
      </w:r>
    </w:p>
    <w:p>
      <w:r>
        <w:t xml:space="preserve">Discount: </w:t>
      </w:r>
      <w:r>
        <w:rPr>
          <w:strike/>
          <w:color w:val="FF0000"/>
        </w:rPr>
        <w:t xml:space="preserve">[35.0%] </w:t>
      </w:r>
      <w:r>
        <w:rPr>
          <w:b/>
          <w:color w:val="008000"/>
          <w:highlight w:val="yellow"/>
        </w:rPr>
        <w:t>[20.0% MAX]</w:t>
      </w:r>
    </w:p>
    <w:p>
      <w:r>
        <w:br/>
        <w:t>[AI AGENT NOTE: Generated autonomously by DealGraph Legal Agent. Ready for DocuSign routing.]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