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xi6swq98u0t" w:id="0"/>
      <w:bookmarkEnd w:id="0"/>
      <w:r w:rsidDel="00000000" w:rsidR="00000000" w:rsidRPr="00000000">
        <w:rPr>
          <w:rtl w:val="0"/>
        </w:rPr>
        <w:t xml:space="preserve">DOC-09A — Convenções de Migrations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FinControl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Aprovado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pilpgo5utwex" w:id="1"/>
      <w:bookmarkEnd w:id="1"/>
      <w:r w:rsidDel="00000000" w:rsidR="00000000" w:rsidRPr="00000000">
        <w:rPr>
          <w:rtl w:val="0"/>
        </w:rPr>
        <w:t xml:space="preserve">1. Princípios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Toda alteração estrutural será feita por migration.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Nenhuma alteração manual será considerada oficial.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Migrations serão imutáveis após aplicação em ambiente compartilhado.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Correções serão feitas por nova migration.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Toda migration deverá possuir operação de avanço e, quando seguro, operação de reversão.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sjksh0ndpp5d" w:id="2"/>
      <w:bookmarkEnd w:id="2"/>
      <w:r w:rsidDel="00000000" w:rsidR="00000000" w:rsidRPr="00000000">
        <w:rPr>
          <w:rtl w:val="0"/>
        </w:rPr>
        <w:t xml:space="preserve">2. Convenção de nomes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YYYYMMDDHHMM_&lt;dominio&gt;_&lt;acao&gt;_&lt;objeto&gt;.sql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202607161800_financeiro_create_payable_titles.sql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202607161810_financeiro_create_payable_installments.sql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202607161820_financeiro_create_payments.sql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5wsfw7trdth5" w:id="3"/>
      <w:bookmarkEnd w:id="3"/>
      <w:r w:rsidDel="00000000" w:rsidR="00000000" w:rsidRPr="00000000">
        <w:rPr>
          <w:rtl w:val="0"/>
        </w:rPr>
        <w:t xml:space="preserve">3. Ordem recomendada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Extensões.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Schemas.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Tabelas de domínio.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Cadastros mestres.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Tabelas principais.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Tabelas associativas.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Restrições.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Índices.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Funções e triggers.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Seeds mínimos.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9eq5qztdplmf" w:id="4"/>
      <w:bookmarkEnd w:id="4"/>
      <w:r w:rsidDel="00000000" w:rsidR="00000000" w:rsidRPr="00000000">
        <w:rPr>
          <w:rtl w:val="0"/>
        </w:rPr>
        <w:t xml:space="preserve">4. Regras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Sempre qualificar schema.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Usar transação quando possível.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Nunca remover coluna em produção sem fase de compatibilidade.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Alterações destrutivas exigem backup e plano de rollback.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Seeds de domínio devem possuir códigos estáveis.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IDs técnicos poderão ser UUID, mas integrações deverão utilizar códigos funcionais quando aplicável.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