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r6xn607x1a" w:id="0"/>
      <w:bookmarkEnd w:id="0"/>
      <w:r w:rsidDel="00000000" w:rsidR="00000000" w:rsidRPr="00000000">
        <w:rPr>
          <w:rtl w:val="0"/>
        </w:rPr>
        <w:t xml:space="preserve">QST-DOM-002-001 — Decisões Pendentes do Financeiro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apenas decisões que dependem do Product Owner.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2l9p2mbyaci" w:id="1"/>
      <w:bookmarkEnd w:id="1"/>
      <w:r w:rsidDel="00000000" w:rsidR="00000000" w:rsidRPr="00000000">
        <w:rPr>
          <w:rtl w:val="0"/>
        </w:rPr>
        <w:t xml:space="preserve">Bloco A — Duplicidade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Ao detectar a mesma combinação de fornecedor, número do documento, série e parcela, o sistema deverá: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bloquear completamente; ou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permitir continuar com alerta? FAZER O ALERTA DA DUPLICIDADE/ERRO DO DOCUMENTO E PERMITIR A EDIÇÃO/CORREÇÃO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Caso permita continuar, qualquer usuário poderá confirmar ou será necessária permissão especial? PODE CONTINUAR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60ps5zdov8j" w:id="2"/>
      <w:bookmarkEnd w:id="2"/>
      <w:r w:rsidDel="00000000" w:rsidR="00000000" w:rsidRPr="00000000">
        <w:rPr>
          <w:rtl w:val="0"/>
        </w:rPr>
        <w:t xml:space="preserve">Bloco B — Documento sem Nota Fiscal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 contas sem Nota Fiscal, o Número do Documento obrigatório poderá ser: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número do boleto;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número do contrato;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código interno digitado;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código automático gerado pelo sistema?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NOME DO FORNECEDOR, EXEMPLO ENEL, SABESP,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o86jz57j610" w:id="3"/>
      <w:bookmarkEnd w:id="3"/>
      <w:r w:rsidDel="00000000" w:rsidR="00000000" w:rsidRPr="00000000">
        <w:rPr>
          <w:rtl w:val="0"/>
        </w:rPr>
        <w:t xml:space="preserve">Bloco C — Parcelas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PARCELAS SÃO OBTIDAS ATRAVÉS DO XML DA NOTA FISCAL, MAS AO INSERIR UM PAGAMENTO MANUALMENTE, O USUÁRIO PRECISARÁ INFORMAR AS PARCELAS, VALORES, VENCIMENTOS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Ao cadastrar a parcela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1/5</w:t>
      </w:r>
      <w:r w:rsidDel="00000000" w:rsidR="00000000" w:rsidRPr="00000000">
        <w:rPr>
          <w:rtl w:val="0"/>
        </w:rPr>
        <w:t xml:space="preserve">, o sistema deverá gerar automaticamente as outras quatro parcelas ou o usuário poderá cadastrar cada parcela separadamente?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parcelas poderão ter valores diferentes?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parcelas poderão ter formas de pagamento diferentes?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f3lwgm7qe4u" w:id="4"/>
      <w:bookmarkEnd w:id="4"/>
      <w:r w:rsidDel="00000000" w:rsidR="00000000" w:rsidRPr="00000000">
        <w:rPr>
          <w:rtl w:val="0"/>
        </w:rPr>
        <w:t xml:space="preserve">Bloco D — Cancelamento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 título Em Aberto poderá ser cancelado por qualquer operador ou somente por perfil autorizado? O OPERADOR MASTER DARÁ PERMISSÃO AOS USUÁRIOS QUE PODERÃO FAZER O CANCELAMENTO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 título parcialmente pago poderá ser cancelado após estorno dos pagamentos? SIM, DESDE QUE SEJA PELA PESSOA AUTORIZADA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mwd5mke91aj" w:id="5"/>
      <w:bookmarkEnd w:id="5"/>
      <w:r w:rsidDel="00000000" w:rsidR="00000000" w:rsidRPr="00000000">
        <w:rPr>
          <w:rtl w:val="0"/>
        </w:rPr>
        <w:t xml:space="preserve">Bloco E — Aprovação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Quando a aprovação estiver desativada, o título deverá ir diretamente para: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Em Aberto; ou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Aprovado?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TODOS OS TÍTULOS PARA ABERTO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reprovação deverá: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devolver para correção; ou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cancelar o título?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INFORMAR QUE FOI REPROVADO, DAR A OPÇÃO DE CORREÇÃO OU CANCELAMENTO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 respostas serão incorporadas automaticamente ao DOC-02A, DOC-03, DOC-06 e RTM.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