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PROJECT_HISTORY — FinControl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16/07/2026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PH-0001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tela de Cadastro de Contas a Pagar foi aprovada como referência visual inicial.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### PH-0002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Foram removidos da primeira página os campos Projeto, Conta Bancária e Centro de Custo.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### PH-0003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Foram definidos Número do Documento obrigatório e Parcela obrigatória no padrão `n/N`.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### PH-0004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 Centro de Custo foi transferido para a aba Observações.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### PH-0005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imagem gerada foi preservada como artefato histórico. A documentação prevalece sobre o campo Centro de Custo ainda exibido nela.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