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Estratégia do Pipeline P2</w:t>
        <w:br/>
      </w:r>
    </w:p>
    <w:p>
      <w:pPr>
        <w:pStyle w:val="Subtitle"/>
        <w:jc w:val="center"/>
      </w:pPr>
      <w:r>
        <w:t>Arquitetura portátil para execução em dois ambientes: Debian + L40S e Ubuntu + RTX 5060 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703"/>
            <w:vAlign w:val="center"/>
          </w:tcPr>
          <w:p>
            <w:r>
              <w:t>PROJETO_LIGEM_HIBRIDO / Pipeline P2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703"/>
            <w:vAlign w:val="center"/>
          </w:tcPr>
          <w:p>
            <w:r>
              <w:t>Permitir desenvolvimento, preparação de dados, treino, inferência e pós-processamento com a mesma lógica de pipeline em dois ambientes computacionais distintos.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b/>
              </w:rPr>
              <w:t>Ambiente A</w:t>
            </w:r>
          </w:p>
        </w:tc>
        <w:tc>
          <w:tcPr>
            <w:tcW w:type="dxa" w:w="4703"/>
            <w:vAlign w:val="center"/>
          </w:tcPr>
          <w:p>
            <w:r>
              <w:t>Computador acessando servidor Debian com GPU NVIDIA L40S.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b/>
              </w:rPr>
              <w:t>Ambiente B</w:t>
            </w:r>
          </w:p>
        </w:tc>
        <w:tc>
          <w:tcPr>
            <w:tcW w:type="dxa" w:w="4703"/>
            <w:vAlign w:val="center"/>
          </w:tcPr>
          <w:p>
            <w:r>
              <w:t>Computador rodando Ubuntu com GPU NVIDIA GeForce RTX 5060 Ti.</w:t>
            </w:r>
          </w:p>
        </w:tc>
      </w:tr>
    </w:tbl>
    <w:p/>
    <w:p>
      <w:pPr>
        <w:pStyle w:val="Heading1"/>
      </w:pPr>
      <w:r>
        <w:t>1. Contexto e motivação</w:t>
      </w:r>
    </w:p>
    <w:p>
      <w:r>
        <w:t>O Pipeline P2 foi concebido para incorporar componentes de inteligência artificial ao fluxo híbrido do projeto, com foco especial no uso do NVIDIA TAO Toolkit e em tarefas de segmentação e classificação derivadas de nuvens de pontos e produtos rasterizados. Durante os testes iniciais, foi constatado que o ambiente com GPU L40S é compatível com a estratégia baseada em TAO, enquanto o ambiente com GPU RTX 5060 Ti pode apresentar restrições de compatibilidade dependendo da versão do container TAO utilizada. Em razão disso, a estratégia recomendada não é prender o P2 a um único container ou a uma única GPU, mas estruturar o pipeline de forma portátil, modular e agnóstica de backend.</w:t>
      </w:r>
    </w:p>
    <w:p>
      <w:pPr>
        <w:pStyle w:val="Heading1"/>
      </w:pPr>
      <w:r>
        <w:t>2. Princípio arquitetural</w:t>
      </w:r>
    </w:p>
    <w:p>
      <w:r>
        <w:t>O princípio central desta estratégia é separar o Pipeline P2 em duas camadas. A primeira camada contém toda a lógica comum do projeto, isto é, preparação dos dados, geração de tiles, montagem de máscaras, indexação, pós-processamento e exportação geoespacial. A segunda camada contém apenas o backend de treinamento e inferência, que pode variar conforme a máquina disponível. Dessa forma, o pipeline permanece único do ponto de vista lógico, mas com implementação adaptável ao ambiente em que estiver sendo executado.</w:t>
      </w:r>
    </w:p>
    <w:p>
      <w:pPr>
        <w:pStyle w:val="Heading1"/>
      </w:pPr>
      <w:r>
        <w:t>3. Objetivos da estratégia</w:t>
      </w:r>
    </w:p>
    <w:p>
      <w:r>
        <w:t>A estratégia proposta busca atingir quatro objetivos principais: manter uma única base de código do P2; permitir que o mesmo fluxo de trabalho seja executado tanto no Debian com L40S quanto no Ubuntu com RTX 5060 Ti; utilizar o TAO como backend principal quando houver compatibilidade plena; e preservar a possibilidade de uso de backend alternativo quando a GPU local não for suportada pelo container TAO selecionado.</w:t>
      </w:r>
    </w:p>
    <w:p>
      <w:pPr>
        <w:pStyle w:val="Heading1"/>
      </w:pPr>
      <w:r>
        <w:t>4. Estrutura em camadas</w:t>
      </w:r>
    </w:p>
    <w:p>
      <w:pPr>
        <w:pStyle w:val="Heading2"/>
      </w:pPr>
      <w:r>
        <w:t>4.1 Camada comum do pipeline</w:t>
      </w:r>
    </w:p>
    <w:p>
      <w:r>
        <w:t>A camada comum deve concentrar toda a lógica que precisa ser idêntica nos dois ambientes. Nela devem permanecer os módulos de leitura de arquivos LAS/LAZ, geração de tiles 2D ou representações rasterizadas, criação de máscaras, montagem dos conjuntos de treino/validação/teste, criação de índices geoespaciais, pós-processamento morfológico e exportação dos produtos finais. Essa camada não deve depender diretamente do TAO Toolkit.</w:t>
      </w:r>
    </w:p>
    <w:p>
      <w:pPr>
        <w:pStyle w:val="Heading2"/>
      </w:pPr>
      <w:r>
        <w:t>4.2 Camada de backend</w:t>
      </w:r>
    </w:p>
    <w:p>
      <w:r>
        <w:t>A camada de backend deve conter exclusivamente os componentes de treinamento, inferência e eventual exportação de modelos. No ambiente Debian com L40S, o backend preferencial é o TAO Toolkit. No ambiente Ubuntu com RTX 5060 Ti, deve-se prever um backend alternativo, como PyTorch puro, ou uma versão mais nova do TAO quando esta for comprovadamente compatível. Com isso, a lógica do projeto não muda; muda apenas o executor do modelo.</w:t>
      </w:r>
    </w:p>
    <w:p>
      <w:pPr>
        <w:pStyle w:val="Heading2"/>
      </w:pPr>
      <w:r>
        <w:t>4.3 Benefício da separação</w:t>
      </w:r>
    </w:p>
    <w:p>
      <w:r>
        <w:t>A separação entre lógica comum e backend reduz o acoplamento, facilita depuração, torna os experimentos reprodutíveis e evita que limitações temporárias de compatibilidade com uma GPU interrompam o avanço do projeto como um todo.</w:t>
      </w:r>
    </w:p>
    <w:p>
      <w:pPr>
        <w:pStyle w:val="Heading1"/>
      </w:pPr>
      <w:r>
        <w:t>5. Papel de cada ambiente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Papel principal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3135"/>
            <w:vAlign w:val="center"/>
          </w:tcPr>
          <w:p>
            <w:r>
              <w:t>Debian + L40S</w:t>
            </w:r>
          </w:p>
        </w:tc>
        <w:tc>
          <w:tcPr>
            <w:tcW w:type="dxa" w:w="3135"/>
            <w:vAlign w:val="center"/>
          </w:tcPr>
          <w:p>
            <w:r>
              <w:t>Treinamento oficial com TAO, inferência de referência, exportação de modelo e benchmarks principais.</w:t>
            </w:r>
          </w:p>
        </w:tc>
        <w:tc>
          <w:tcPr>
            <w:tcW w:type="dxa" w:w="3135"/>
            <w:vAlign w:val="center"/>
          </w:tcPr>
          <w:p>
            <w:r>
              <w:t>Deve ser tratado como ambiente prioritário para workflows que dependam explicitamente de compatibilidade com TAO.</w:t>
            </w:r>
          </w:p>
        </w:tc>
      </w:tr>
      <w:tr>
        <w:tc>
          <w:tcPr>
            <w:tcW w:type="dxa" w:w="3135"/>
            <w:vAlign w:val="center"/>
          </w:tcPr>
          <w:p>
            <w:r>
              <w:t>Ubuntu + RTX 5060 Ti</w:t>
            </w:r>
          </w:p>
        </w:tc>
        <w:tc>
          <w:tcPr>
            <w:tcW w:type="dxa" w:w="3135"/>
            <w:vAlign w:val="center"/>
          </w:tcPr>
          <w:p>
            <w:r>
              <w:t>Desenvolvimento dos scripts comuns, preparação de dados, depuração, testes de pequena escala e backend alternativo.</w:t>
            </w:r>
          </w:p>
        </w:tc>
        <w:tc>
          <w:tcPr>
            <w:tcW w:type="dxa" w:w="3135"/>
            <w:vAlign w:val="center"/>
          </w:tcPr>
          <w:p>
            <w:r>
              <w:t>Pode executar a lógica do P2 integralmente; porém, o backend TAO depende de compatibilidade comprovada da versão do container com a GPU.</w:t>
            </w:r>
          </w:p>
        </w:tc>
      </w:tr>
    </w:tbl>
    <w:p/>
    <w:p>
      <w:pPr>
        <w:pStyle w:val="Heading1"/>
      </w:pPr>
      <w:r>
        <w:t>6. Diretrizes de padronização</w:t>
      </w:r>
    </w:p>
    <w:p>
      <w:pPr>
        <w:pStyle w:val="ListBullet"/>
      </w:pPr>
      <w:r>
        <w:t>A estrutura lógica de diretórios deve ser equivalente nos dois ambientes, mesmo que os caminhos absolutos do host sejam diferentes.</w:t>
      </w:r>
    </w:p>
    <w:p>
      <w:pPr>
        <w:pStyle w:val="ListBullet"/>
      </w:pPr>
      <w:r>
        <w:t>Os nomes dos arquivos de entrada e saída devem seguir convenções fixas, permitindo automação e reprodutibilidade.</w:t>
      </w:r>
    </w:p>
    <w:p>
      <w:pPr>
        <w:pStyle w:val="ListBullet"/>
      </w:pPr>
      <w:r>
        <w:t>O arquivo de configuração do P2 deve centralizar parâmetros de experimento, classes, tile size, overlap, caminhos lógicos e backend selecionado.</w:t>
      </w:r>
    </w:p>
    <w:p>
      <w:pPr>
        <w:pStyle w:val="ListBullet"/>
      </w:pPr>
      <w:r>
        <w:t>O pipeline deve ser acionado por um orquestrador único, responsável por carregar a configuração, identificar o perfil do ambiente e chamar o backend apropriado.</w:t>
      </w:r>
    </w:p>
    <w:p>
      <w:pPr>
        <w:pStyle w:val="Heading1"/>
      </w:pPr>
      <w:r>
        <w:t>7. Estrutura lógica sugerida</w:t>
      </w:r>
    </w:p>
    <w:p>
      <w:r>
        <w:t>A seguir, apresenta-se uma estrutura de diretórios recomendada para acomodar a estratégia de execução em dois ambientes. A ideia é manter uma base comum de scripts e perfis específicos por ambiente.</w:t>
      </w:r>
    </w:p>
    <w:p>
      <w:r>
        <w:rPr>
          <w:rFonts w:ascii="Courier New" w:hAnsi="Courier New" w:eastAsia="Courier New"/>
          <w:sz w:val="18"/>
        </w:rPr>
        <w:t>03_Scripts_Common/P2/</w:t>
        <w:br/>
        <w:t>├── common/</w:t>
        <w:br/>
        <w:t>│   ├── p2_prepare_tiles.py</w:t>
        <w:br/>
        <w:t>│   ├── p2_build_splits.py</w:t>
        <w:br/>
        <w:t>│   ├── p2_postprocess.py</w:t>
        <w:br/>
        <w:t>│   ├── p2_export_geo.py</w:t>
        <w:br/>
        <w:t>│   └── p2_utils.py</w:t>
        <w:br/>
        <w:t>├── backends/</w:t>
        <w:br/>
        <w:t>│   ├── tao/</w:t>
        <w:br/>
        <w:t>│   │   ├── train.sh</w:t>
        <w:br/>
        <w:t>│   │   ├── infer.sh</w:t>
        <w:br/>
        <w:t>│   │   └── specs/</w:t>
        <w:br/>
        <w:t>│   └── torch/</w:t>
        <w:br/>
        <w:t>│       ├── train.py</w:t>
        <w:br/>
        <w:t>│       ├── infer.py</w:t>
        <w:br/>
        <w:t>│       └── requirements.txt</w:t>
        <w:br/>
        <w:t>├── envs/</w:t>
        <w:br/>
        <w:t>│   ├── l40s.sh</w:t>
        <w:br/>
        <w:t>│   └── rtx5060ti.sh</w:t>
        <w:br/>
        <w:t>├── p2_config.sh</w:t>
        <w:br/>
        <w:t>└── run_pipeline_p2.sh</w:t>
      </w:r>
    </w:p>
    <w:p>
      <w:pPr>
        <w:pStyle w:val="Heading1"/>
      </w:pPr>
      <w:r>
        <w:t>8. Convenção de perfis e backend</w:t>
      </w:r>
    </w:p>
    <w:p>
      <w:r>
        <w:t>Sugere-se que o orquestrador aceite perfis explícitos de ambiente, por exemplo, P2_ENV_PROFILE=l40s ou P2_ENV_PROFILE=rtx5060ti. O backend de treinamento e inferência pode ser selecionado com variáveis como P2_BACKEND=tao ou P2_BACKEND=torch. Com isso, o mesmo script principal passa a ter comportamento adaptativo, sem duplicação desnecessária de lógica.</w:t>
      </w:r>
    </w:p>
    <w:p>
      <w:pPr>
        <w:pStyle w:val="Heading2"/>
      </w:pPr>
      <w:r>
        <w:t>Exemplo conceitual de variáveis:</w:t>
      </w:r>
    </w:p>
    <w:p>
      <w:r>
        <w:rPr>
          <w:rFonts w:ascii="Courier New" w:hAnsi="Courier New" w:eastAsia="Courier New"/>
          <w:sz w:val="18"/>
        </w:rPr>
        <w:t>P2_ENV_PROFILE=l40s</w:t>
        <w:br/>
        <w:t>P2_BACKEND=tao</w:t>
        <w:br/>
        <w:br/>
        <w:t>P2_ENV_PROFILE=rtx5060ti</w:t>
        <w:br/>
        <w:t>P2_BACKEND=torch</w:t>
      </w:r>
    </w:p>
    <w:p>
      <w:pPr>
        <w:pStyle w:val="Heading1"/>
      </w:pPr>
      <w:r>
        <w:t>9. Fluxo operacional recomendado</w:t>
      </w:r>
    </w:p>
    <w:p>
      <w:pPr>
        <w:pStyle w:val="ListNumber"/>
      </w:pPr>
      <w:r>
        <w:t>Carregar a configuração global do experimento.</w:t>
      </w:r>
    </w:p>
    <w:p>
      <w:pPr>
        <w:pStyle w:val="ListNumber"/>
      </w:pPr>
      <w:r>
        <w:t>Carregar o perfil do ambiente atual.</w:t>
      </w:r>
    </w:p>
    <w:p>
      <w:pPr>
        <w:pStyle w:val="ListNumber"/>
      </w:pPr>
      <w:r>
        <w:t>Executar a preparação dos dados, incluindo leitura da nuvem, geração de tiles e máscaras e criação dos splits.</w:t>
      </w:r>
    </w:p>
    <w:p>
      <w:pPr>
        <w:pStyle w:val="ListNumber"/>
      </w:pPr>
      <w:r>
        <w:t>Selecionar o backend apropriado conforme a máquina e a compatibilidade disponível.</w:t>
      </w:r>
    </w:p>
    <w:p>
      <w:pPr>
        <w:pStyle w:val="ListNumber"/>
      </w:pPr>
      <w:r>
        <w:t>Executar treino e inferência.</w:t>
      </w:r>
    </w:p>
    <w:p>
      <w:pPr>
        <w:pStyle w:val="ListNumber"/>
      </w:pPr>
      <w:r>
        <w:t>Aplicar pós-processamento comum.</w:t>
      </w:r>
    </w:p>
    <w:p>
      <w:pPr>
        <w:pStyle w:val="ListNumber"/>
      </w:pPr>
      <w:r>
        <w:t>Exportar os produtos finais georreferenciados.</w:t>
      </w:r>
    </w:p>
    <w:p>
      <w:pPr>
        <w:pStyle w:val="Heading1"/>
      </w:pPr>
      <w:r>
        <w:t>10. Estratégia para modelos e deploy</w:t>
      </w:r>
    </w:p>
    <w:p>
      <w:r>
        <w:t>Os pesos do modelo, checkpoints e arquivos intermediários de exportação devem ser tratados como artefatos portáveis entre máquinas, desde que o framework e a etapa de exportação sejam compatíveis. Entretanto, engines TensorRT devem ser considerados específicos de plataforma e GPU-alvo. Assim, a recomendação é gerar o engine final no ambiente em que ele será efetivamente executado. Em termos práticos, isso significa que se um modelo for treinado ou exportado em uma máquina, a etapa final de geração do engine otimizado deverá ser refeita na GPU de destino.</w:t>
      </w:r>
    </w:p>
    <w:p>
      <w:pPr>
        <w:pStyle w:val="Heading1"/>
      </w:pPr>
      <w:r>
        <w:t>11. Benefícios esperados</w:t>
      </w:r>
    </w:p>
    <w:p>
      <w:pPr>
        <w:pStyle w:val="ListBullet"/>
      </w:pPr>
      <w:r>
        <w:t>Maior portabilidade do P2 entre máquinas distintas.</w:t>
      </w:r>
    </w:p>
    <w:p>
      <w:pPr>
        <w:pStyle w:val="ListBullet"/>
      </w:pPr>
      <w:r>
        <w:t>Menor dependência de uma única versão de container ou de uma única GPU.</w:t>
      </w:r>
    </w:p>
    <w:p>
      <w:pPr>
        <w:pStyle w:val="ListBullet"/>
      </w:pPr>
      <w:r>
        <w:t>Facilidade para desenvolvimento local e execução oficial em servidor dedicado.</w:t>
      </w:r>
    </w:p>
    <w:p>
      <w:pPr>
        <w:pStyle w:val="ListBullet"/>
      </w:pPr>
      <w:r>
        <w:t>Melhor reprodutibilidade dos experimentos.</w:t>
      </w:r>
    </w:p>
    <w:p>
      <w:pPr>
        <w:pStyle w:val="ListBullet"/>
      </w:pPr>
      <w:r>
        <w:t>Evolução gradual do projeto, permitindo troca ou atualização de backend sem reestruturar toda a lógica do pipeline.</w:t>
      </w:r>
    </w:p>
    <w:p>
      <w:pPr>
        <w:pStyle w:val="Heading1"/>
      </w:pPr>
      <w:r>
        <w:t>12. Recomendações imediatas para a V0.1</w:t>
      </w:r>
    </w:p>
    <w:p>
      <w:r>
        <w:t>Para a primeira versão operacional do P2, recomenda-se implementar inicialmente a camada comum do pipeline, incluindo p2_config.sh, p2_00_env_check.sh, p2_01_prepare_tiles.py, p2_02_build_dataset_index.py, p2_postprocess.py e p2_export_geo.py. Em paralelo, deve-se manter o backend TAO como opção prioritária para a L40S e preparar um backend alternativo para a RTX 5060 Ti. Essa abordagem permite que o projeto avance sem bloqueio por questões de compatibilidade de container, ao mesmo tempo em que preserva o uso do ecossistema NVIDIA quando disponível.</w:t>
      </w:r>
    </w:p>
    <w:p>
      <w:pPr>
        <w:pStyle w:val="Heading1"/>
      </w:pPr>
      <w:r>
        <w:t>13. Conclusão</w:t>
      </w:r>
    </w:p>
    <w:p>
      <w:r>
        <w:t>A estratégia proposta permite que o Pipeline P2 seja concebido como um sistema único, porém adaptável a dois ambientes computacionais diferentes. Em vez de associar o sucesso do projeto a uma única combinação de container, driver e GPU, a solução passa a ser um pipeline modular e agnóstico de backend, no qual a lógica do processamento permanece estável e a camada de execução é ajustada conforme a infraestrutura disponível. Essa arquitetura é a mais adequada para garantir continuidade de desenvolvimento, robustez operacional e evolução sustentável do projeto.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