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Estratégia Revisada do Pipeline P2</w:t>
        <w:br/>
      </w:r>
      <w:r>
        <w:rPr>
          <w:sz w:val="30"/>
        </w:rPr>
        <w:t>Padronização do NVIDIA TAO Toolkit 6.26.3 em dois ambientes de hardware</w:t>
      </w:r>
    </w:p>
    <w:p>
      <w:pPr>
        <w:jc w:val="center"/>
      </w:pPr>
      <w:r>
        <w:rPr>
          <w:i/>
        </w:rPr>
        <w:t>Projeto LIGEM Híbrido – Documento de estratégia técnica revisada</w:t>
      </w:r>
    </w:p>
    <w:p>
      <w:pPr>
        <w:pStyle w:val="Heading1"/>
      </w:pPr>
      <w:r>
        <w:t>1. Contexto e atualização da premissa técnica</w:t>
      </w:r>
    </w:p>
    <w:p>
      <w:r>
        <w:t>O Pipeline P2 foi concebido para executar processamento de inteligência artificial aplicado à separação de classes derivadas de nuvens de pontos e produtos rasterizados, com foco em tarefas de segmentação semântica relacionadas ao fluxo híbrido do projeto.</w:t>
      </w:r>
    </w:p>
    <w:p>
      <w:r>
        <w:t>A estratégia anterior considerava o uso do TAO Toolkit apenas no ambiente com GPU L40S, porque a imagem antiga do container (TAO 5.0.0) não reconhecia a GPU GeForce RTX 5060 Ti como suportada.</w:t>
      </w:r>
    </w:p>
    <w:p>
      <w:r>
        <w:t>Após testes práticos, ficou validado que a imagem nvcr.io/nvidia/tao/tao-toolkit:6.26.3-pyt executa corretamente tanto no ambiente com GPU L40S quanto no ambiente com GPU RTX 5060 Ti. No computador com RTX 5060 Ti, o container subiu sem erro de incompatibilidade, a GPU foi reconhecida pelo nvidia-smi dentro do container e o PyTorch reportou torch.cuda.is_available() = True.</w:t>
      </w:r>
    </w:p>
    <w:p>
      <w:r>
        <w:t>Com isso, a estratégia do P2 deve ser revisada: o TAO Toolkit deixa de ser exclusivo do ambiente L40S e passa a ser a base comum dos dois ambientes de desenvolvimento e execução.</w:t>
      </w:r>
    </w:p>
    <w:p>
      <w:pPr>
        <w:pStyle w:val="Heading1"/>
      </w:pPr>
      <w:r>
        <w:t>2. Ambientes contemplados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t>Ambiente</w:t>
            </w:r>
          </w:p>
        </w:tc>
        <w:tc>
          <w:tcPr>
            <w:tcW w:type="dxa" w:w="2351"/>
            <w:vAlign w:val="center"/>
          </w:tcPr>
          <w:p>
            <w:r>
              <w:t>Sistema</w:t>
            </w:r>
          </w:p>
        </w:tc>
        <w:tc>
          <w:tcPr>
            <w:tcW w:type="dxa" w:w="2351"/>
            <w:vAlign w:val="center"/>
          </w:tcPr>
          <w:p>
            <w:r>
              <w:t>GPU</w:t>
            </w:r>
          </w:p>
        </w:tc>
        <w:tc>
          <w:tcPr>
            <w:tcW w:type="dxa" w:w="2351"/>
            <w:vAlign w:val="center"/>
          </w:tcPr>
          <w:p>
            <w:r>
              <w:t>Papel estratégico</w:t>
            </w:r>
          </w:p>
        </w:tc>
      </w:tr>
      <w:tr>
        <w:tc>
          <w:tcPr>
            <w:tcW w:type="dxa" w:w="2351"/>
            <w:vAlign w:val="center"/>
          </w:tcPr>
          <w:p>
            <w:r>
              <w:t>A</w:t>
            </w:r>
          </w:p>
        </w:tc>
        <w:tc>
          <w:tcPr>
            <w:tcW w:type="dxa" w:w="2351"/>
            <w:vAlign w:val="center"/>
          </w:tcPr>
          <w:p>
            <w:r>
              <w:t>Servidor Debian</w:t>
            </w:r>
          </w:p>
        </w:tc>
        <w:tc>
          <w:tcPr>
            <w:tcW w:type="dxa" w:w="2351"/>
            <w:vAlign w:val="center"/>
          </w:tcPr>
          <w:p>
            <w:r>
              <w:t>NVIDIA L40S</w:t>
            </w:r>
          </w:p>
        </w:tc>
        <w:tc>
          <w:tcPr>
            <w:tcW w:type="dxa" w:w="2351"/>
            <w:vAlign w:val="center"/>
          </w:tcPr>
          <w:p>
            <w:r>
              <w:t>Treino principal, experimentos maiores, validação oficial e exportações finais</w:t>
            </w:r>
          </w:p>
        </w:tc>
      </w:tr>
      <w:tr>
        <w:tc>
          <w:tcPr>
            <w:tcW w:type="dxa" w:w="2351"/>
            <w:vAlign w:val="center"/>
          </w:tcPr>
          <w:p>
            <w:r>
              <w:t>B</w:t>
            </w:r>
          </w:p>
        </w:tc>
        <w:tc>
          <w:tcPr>
            <w:tcW w:type="dxa" w:w="2351"/>
            <w:vAlign w:val="center"/>
          </w:tcPr>
          <w:p>
            <w:r>
              <w:t>Ubuntu</w:t>
            </w:r>
          </w:p>
        </w:tc>
        <w:tc>
          <w:tcPr>
            <w:tcW w:type="dxa" w:w="2351"/>
            <w:vAlign w:val="center"/>
          </w:tcPr>
          <w:p>
            <w:r>
              <w:t>NVIDIA GeForce RTX 5060 Ti</w:t>
            </w:r>
          </w:p>
        </w:tc>
        <w:tc>
          <w:tcPr>
            <w:tcW w:type="dxa" w:w="2351"/>
            <w:vAlign w:val="center"/>
          </w:tcPr>
          <w:p>
            <w:r>
              <w:t>Desenvolvimento, depuração, preparação de dados, testes locais e também treino/inferência com o mesmo TAO 6.26.3</w:t>
            </w:r>
          </w:p>
        </w:tc>
      </w:tr>
    </w:tbl>
    <w:p>
      <w:pPr>
        <w:pStyle w:val="Heading1"/>
      </w:pPr>
      <w:r>
        <w:t>3. Diretriz central da nova estratégia</w:t>
      </w:r>
    </w:p>
    <w:p>
      <w:r>
        <w:t>A diretriz central passa a ser a padronização dos dois computadores em torno da mesma imagem de container do NVIDIA TAO Toolkit: nvcr.io/nvidia/tao/tao-toolkit:6.26.3-pyt.</w:t>
      </w:r>
    </w:p>
    <w:p>
      <w:r>
        <w:t>Essa padronização reduz divergências de ambiente, simplifica manutenção de scripts, evita duplicação desnecessária de especificações YAML e permite que o Pipeline P2 seja tratado como um único pipeline lógico com perfis de execução distintos por hardware.</w:t>
      </w:r>
    </w:p>
    <w:p>
      <w:pPr>
        <w:pStyle w:val="Heading1"/>
      </w:pPr>
      <w:r>
        <w:t>4. O que passa a ser comum entre os dois computadores</w:t>
      </w:r>
    </w:p>
    <w:p>
      <w:r>
        <w:t>Mesma versão do TAO Toolkit: 6.26.3-pyt.</w:t>
      </w:r>
    </w:p>
    <w:p>
      <w:r>
        <w:t>Mesma estrutura lógica de montagem de volumes no container: /data, /scripts e /results.</w:t>
      </w:r>
    </w:p>
    <w:p>
      <w:r>
        <w:t>Mesma organização funcional do Pipeline P2, incluindo preparação de dataset, treino, inferência, pós-processamento e exportação geoespacial.</w:t>
      </w:r>
    </w:p>
    <w:p>
      <w:r>
        <w:t>Mesmos scripts centrais do pipeline.</w:t>
      </w:r>
    </w:p>
    <w:p>
      <w:r>
        <w:t>Mesmos arquivos spec do TAO, salvo quando houver ajuste específico de parâmetros ligados à memória ou desempenho.</w:t>
      </w:r>
    </w:p>
    <w:p>
      <w:r>
        <w:t>Mesmo contrato de entrada e saída dos dados, incluindo diretórios de workspace, dataset_ia, logs, specs e results.</w:t>
      </w:r>
    </w:p>
    <w:p>
      <w:pPr>
        <w:pStyle w:val="Heading1"/>
      </w:pPr>
      <w:r>
        <w:t>5. O que deve variar entre os ambientes</w:t>
      </w:r>
    </w:p>
    <w:p>
      <w:r>
        <w:t>Batch size, número de workers e outros hiperparâmetros sensíveis à memória de GPU.</w:t>
      </w:r>
    </w:p>
    <w:p>
      <w:r>
        <w:t>Tempo de processamento e escala dos experimentos.</w:t>
      </w:r>
    </w:p>
    <w:p>
      <w:r>
        <w:t>Prioridade de uso: a L40S deve continuar sendo o ambiente preferencial para execuções mais pesadas e validações oficiais; a RTX 5060 Ti pode ser usada para desenvolvimento, iteração rápida e também execução funcional do pipeline.</w:t>
      </w:r>
    </w:p>
    <w:p>
      <w:r>
        <w:t>Possíveis ajustes de desempenho no treinamento e na inferência, sem alterar o contrato lógico do P2.</w:t>
      </w:r>
    </w:p>
    <w:p>
      <w:pPr>
        <w:pStyle w:val="Heading1"/>
      </w:pPr>
      <w:r>
        <w:t>6. Estrutura recomendada do Pipeline P2</w:t>
      </w:r>
    </w:p>
    <w:p>
      <w:r>
        <w:rPr>
          <w:rFonts w:ascii="Courier New" w:hAnsi="Courier New" w:eastAsia="Courier New"/>
          <w:sz w:val="20"/>
        </w:rPr>
        <w:t>02_Pipelines_LIGEM/P2_Hibrido_Post_IA/</w:t>
      </w:r>
    </w:p>
    <w:p>
      <w:r>
        <w:rPr>
          <w:rFonts w:ascii="Courier New" w:hAnsi="Courier New" w:eastAsia="Courier New"/>
          <w:sz w:val="20"/>
        </w:rPr>
        <w:t>├── workspace/</w:t>
      </w:r>
    </w:p>
    <w:p>
      <w:r>
        <w:rPr>
          <w:rFonts w:ascii="Courier New" w:hAnsi="Courier New" w:eastAsia="Courier New"/>
          <w:sz w:val="20"/>
        </w:rPr>
        <w:t>├── dataset_ia/</w:t>
      </w:r>
    </w:p>
    <w:p>
      <w:r>
        <w:rPr>
          <w:rFonts w:ascii="Courier New" w:hAnsi="Courier New" w:eastAsia="Courier New"/>
          <w:sz w:val="20"/>
        </w:rPr>
        <w:t>├── logs/</w:t>
      </w:r>
    </w:p>
    <w:p>
      <w:r>
        <w:rPr>
          <w:rFonts w:ascii="Courier New" w:hAnsi="Courier New" w:eastAsia="Courier New"/>
          <w:sz w:val="20"/>
        </w:rPr>
        <w:t>├── specs/</w:t>
      </w:r>
    </w:p>
    <w:p>
      <w:r>
        <w:rPr>
          <w:rFonts w:ascii="Courier New" w:hAnsi="Courier New" w:eastAsia="Courier New"/>
          <w:sz w:val="20"/>
        </w:rPr>
        <w:t>└── results/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03_Scripts_Common/P2/L40S/</w:t>
      </w:r>
    </w:p>
    <w:p>
      <w:r>
        <w:rPr>
          <w:rFonts w:ascii="Courier New" w:hAnsi="Courier New" w:eastAsia="Courier New"/>
          <w:sz w:val="20"/>
        </w:rPr>
        <w:t>├── V0.1/</w:t>
      </w:r>
    </w:p>
    <w:p>
      <w:r>
        <w:rPr>
          <w:rFonts w:ascii="Courier New" w:hAnsi="Courier New" w:eastAsia="Courier New"/>
          <w:sz w:val="20"/>
        </w:rPr>
        <w:t>└── lib_container/</w:t>
      </w:r>
    </w:p>
    <w:p>
      <w:r>
        <w:t>Embora o diretório de scripts hoje esteja nomeado com referência a L40S, recomenda-se evoluir posteriormente para uma nomenclatura neutra, caso o mesmo conjunto de scripts seja mantido como base oficial dos dois ambientes.</w:t>
      </w:r>
    </w:p>
    <w:p>
      <w:pPr>
        <w:pStyle w:val="Heading1"/>
      </w:pPr>
      <w:r>
        <w:t>7. Convenção operacional recomendada para containers</w:t>
      </w:r>
    </w:p>
    <w:p>
      <w:r>
        <w:t>A convenção recomendada de montagem é a seguinte:</w:t>
      </w:r>
    </w:p>
    <w:p>
      <w:r>
        <w:rPr>
          <w:rFonts w:ascii="Courier New" w:hAnsi="Courier New" w:eastAsia="Courier New"/>
          <w:sz w:val="20"/>
        </w:rPr>
        <w:t>/data    → diretório de dados do P2</w:t>
      </w:r>
    </w:p>
    <w:p>
      <w:r>
        <w:rPr>
          <w:rFonts w:ascii="Courier New" w:hAnsi="Courier New" w:eastAsia="Courier New"/>
          <w:sz w:val="20"/>
        </w:rPr>
        <w:t>/scripts → diretório de scripts e arquivos de configuração</w:t>
      </w:r>
    </w:p>
    <w:p>
      <w:r>
        <w:rPr>
          <w:rFonts w:ascii="Courier New" w:hAnsi="Courier New" w:eastAsia="Courier New"/>
          <w:sz w:val="20"/>
        </w:rPr>
        <w:t>/results → diretório de saídas experimentais</w:t>
      </w:r>
    </w:p>
    <w:p>
      <w:r>
        <w:t>Comando-base padronizado:</w:t>
      </w:r>
    </w:p>
    <w:p>
      <w:r>
        <w:rPr>
          <w:rFonts w:ascii="Courier New" w:hAnsi="Courier New" w:eastAsia="Courier New"/>
          <w:sz w:val="20"/>
        </w:rPr>
        <w:t>docker run -it --rm --gpus all \</w:t>
      </w:r>
    </w:p>
    <w:p>
      <w:r>
        <w:rPr>
          <w:rFonts w:ascii="Courier New" w:hAnsi="Courier New" w:eastAsia="Courier New"/>
          <w:sz w:val="20"/>
        </w:rPr>
        <w:t xml:space="preserve">  --ipc=host --ulimit memlock=-1 --ulimit stack=67108864 \</w:t>
      </w:r>
    </w:p>
    <w:p>
      <w:r>
        <w:rPr>
          <w:rFonts w:ascii="Courier New" w:hAnsi="Courier New" w:eastAsia="Courier New"/>
          <w:sz w:val="20"/>
        </w:rPr>
        <w:t xml:space="preserve">  -v &lt;P2_DATA_HOST&gt;:/data \</w:t>
      </w:r>
    </w:p>
    <w:p>
      <w:r>
        <w:rPr>
          <w:rFonts w:ascii="Courier New" w:hAnsi="Courier New" w:eastAsia="Courier New"/>
          <w:sz w:val="20"/>
        </w:rPr>
        <w:t xml:space="preserve">  -v &lt;P2_SCRIPTS_HOST&gt;:/scripts \</w:t>
      </w:r>
    </w:p>
    <w:p>
      <w:r>
        <w:rPr>
          <w:rFonts w:ascii="Courier New" w:hAnsi="Courier New" w:eastAsia="Courier New"/>
          <w:sz w:val="20"/>
        </w:rPr>
        <w:t xml:space="preserve">  -v &lt;P2_RESULTS_HOST&gt;:/results \</w:t>
      </w:r>
    </w:p>
    <w:p>
      <w:r>
        <w:rPr>
          <w:rFonts w:ascii="Courier New" w:hAnsi="Courier New" w:eastAsia="Courier New"/>
          <w:sz w:val="20"/>
        </w:rPr>
        <w:t xml:space="preserve">  nvcr.io/nvidia/tao/tao-toolkit:6.26.3-pyt /bin/bash</w:t>
      </w:r>
    </w:p>
    <w:p>
      <w:pPr>
        <w:pStyle w:val="Heading1"/>
      </w:pPr>
      <w:r>
        <w:t>8. Perfis de execução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Perfil</w:t>
            </w:r>
          </w:p>
        </w:tc>
        <w:tc>
          <w:tcPr>
            <w:tcW w:type="dxa" w:w="2351"/>
          </w:tcPr>
          <w:p>
            <w:r>
              <w:t>GPU-alvo</w:t>
            </w:r>
          </w:p>
        </w:tc>
        <w:tc>
          <w:tcPr>
            <w:tcW w:type="dxa" w:w="2351"/>
          </w:tcPr>
          <w:p>
            <w:r>
              <w:t>Uso principal</w:t>
            </w:r>
          </w:p>
        </w:tc>
        <w:tc>
          <w:tcPr>
            <w:tcW w:type="dxa" w:w="2351"/>
          </w:tcPr>
          <w:p>
            <w:r>
              <w:t>Ajustes esperados</w:t>
            </w:r>
          </w:p>
        </w:tc>
      </w:tr>
      <w:tr>
        <w:tc>
          <w:tcPr>
            <w:tcW w:type="dxa" w:w="2351"/>
          </w:tcPr>
          <w:p>
            <w:r>
              <w:t>P2_PROFILE_L40S</w:t>
            </w:r>
          </w:p>
        </w:tc>
        <w:tc>
          <w:tcPr>
            <w:tcW w:type="dxa" w:w="2351"/>
          </w:tcPr>
          <w:p>
            <w:r>
              <w:t>L40S</w:t>
            </w:r>
          </w:p>
        </w:tc>
        <w:tc>
          <w:tcPr>
            <w:tcW w:type="dxa" w:w="2351"/>
          </w:tcPr>
          <w:p>
            <w:r>
              <w:t>Treino principal, experimentos extensos, benchmark oficial</w:t>
            </w:r>
          </w:p>
        </w:tc>
        <w:tc>
          <w:tcPr>
            <w:tcW w:type="dxa" w:w="2351"/>
          </w:tcPr>
          <w:p>
            <w:r>
              <w:t>Batch maior, mais workers, cargas mais pesadas</w:t>
            </w:r>
          </w:p>
        </w:tc>
      </w:tr>
      <w:tr>
        <w:tc>
          <w:tcPr>
            <w:tcW w:type="dxa" w:w="2351"/>
          </w:tcPr>
          <w:p>
            <w:r>
              <w:t>P2_PROFILE_5060TI</w:t>
            </w:r>
          </w:p>
        </w:tc>
        <w:tc>
          <w:tcPr>
            <w:tcW w:type="dxa" w:w="2351"/>
          </w:tcPr>
          <w:p>
            <w:r>
              <w:t>RTX 5060 Ti</w:t>
            </w:r>
          </w:p>
        </w:tc>
        <w:tc>
          <w:tcPr>
            <w:tcW w:type="dxa" w:w="2351"/>
          </w:tcPr>
          <w:p>
            <w:r>
              <w:t>Desenvolvimento, debug, execuções locais e treino funcional</w:t>
            </w:r>
          </w:p>
        </w:tc>
        <w:tc>
          <w:tcPr>
            <w:tcW w:type="dxa" w:w="2351"/>
          </w:tcPr>
          <w:p>
            <w:r>
              <w:t>Batch menor, tuning conservador de memória</w:t>
            </w:r>
          </w:p>
        </w:tc>
      </w:tr>
    </w:tbl>
    <w:p>
      <w:pPr>
        <w:pStyle w:val="Heading1"/>
      </w:pPr>
      <w:r>
        <w:t>9. Implicações para treinamento, exportação e deploy</w:t>
      </w:r>
    </w:p>
    <w:p>
      <w:r>
        <w:t>A compatibilidade do TAO 6.26.3 nos dois ambientes permite compartilhar dataset, scripts e especificações de treino.</w:t>
      </w:r>
    </w:p>
    <w:p>
      <w:r>
        <w:t>Os pesos do modelo e artefatos intermediários podem ser compartilhados entre as máquinas, desde que o fluxo experimental seja controlado.</w:t>
      </w:r>
    </w:p>
    <w:p>
      <w:r>
        <w:t>Artefatos finais altamente dependentes da GPU-alvo, como engines TensorRT, devem continuar sendo gerados no ambiente em que serão efetivamente utilizados.</w:t>
      </w:r>
    </w:p>
    <w:p>
      <w:r>
        <w:t>A equivalência entre ambientes deve ser entendida como equivalência funcional de pipeline, e não como identidade absoluta de desempenho.</w:t>
      </w:r>
    </w:p>
    <w:p>
      <w:pPr>
        <w:pStyle w:val="Heading1"/>
      </w:pPr>
      <w:r>
        <w:t>10. Estratégia operacional recomendada</w:t>
      </w:r>
    </w:p>
    <w:p>
      <w:r>
        <w:t>Manter uma única base de código para o P2.</w:t>
      </w:r>
    </w:p>
    <w:p>
      <w:r>
        <w:t>Manter a imagem padrão do TAO em 6.26.3-pyt em ambos os computadores.</w:t>
      </w:r>
    </w:p>
    <w:p>
      <w:r>
        <w:t>Separar diferenças de hardware por perfis de configuração, e não por duplicação de pipeline.</w:t>
      </w:r>
    </w:p>
    <w:p>
      <w:r>
        <w:t>Usar a L40S como ambiente preferencial para resultados oficiais e cargas maiores.</w:t>
      </w:r>
    </w:p>
    <w:p>
      <w:r>
        <w:t>Usar a RTX 5060 Ti como ambiente plenamente válido para desenvolvimento e também para execução do pipeline com o mesmo TAO.</w:t>
      </w:r>
    </w:p>
    <w:p>
      <w:r>
        <w:t>Preservar a mesma estrutura de diretórios, os mesmos nomes de entradas e a mesma lógica de saída nos dois ambientes.</w:t>
      </w:r>
    </w:p>
    <w:p>
      <w:pPr>
        <w:pStyle w:val="Heading1"/>
      </w:pPr>
      <w:r>
        <w:t>11. Conclusão</w:t>
      </w:r>
    </w:p>
    <w:p>
      <w:r>
        <w:t>A validação prática do container nvcr.io/nvidia/tao/tao-toolkit:6.26.3-pyt na GPU RTX 5060 Ti altera substancialmente a estratégia do Pipeline P2. A partir desta revisão, o P2 deve ser tratado como um pipeline unificado, compatível com os dois ambientes computacionais do projeto, adotando a mesma base de TAO Toolkit e diferenciando apenas perfis de execução, parâmetros de desempenho e geração de artefatos finais dependentes do hardware-alvo.</w:t>
      </w:r>
    </w:p>
    <w:p/>
    <w:p>
      <w:pPr>
        <w:jc w:val="right"/>
      </w:pPr>
      <w:r>
        <w:rPr>
          <w:i/>
          <w:sz w:val="20"/>
        </w:rPr>
        <w:t>Versão revisada – 24/04/2026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