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center"/>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Fecha: 19/07/2025             Lugar: Salón de clase      Hora: 9:00 am</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Fase 3</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i w:val="0"/>
          <w:strike w:val="0"/>
          <w:color w:val="auto"/>
          <w:sz w:val="27"/>
          <w:highlight w:val="none"/>
          <w:u w:val="none"/>
          <w:vertAlign w:val="baseline"/>
          <w:rtl w:val="0"/>
        </w:rPr>
      </w:pPr>
      <w:r>
        <w:rPr>
          <w:rFonts w:ascii="Times New Roman" w:eastAsia="Times New Roman" w:hAnsi="Times New Roman" w:cs="Times New Roman"/>
          <w:b/>
          <w:i w:val="0"/>
          <w:strike w:val="0"/>
          <w:color w:val="auto"/>
          <w:sz w:val="27"/>
          <w:highlight w:val="none"/>
          <w:u w:val="none"/>
          <w:vertAlign w:val="baseline"/>
          <w:rtl w:val="0"/>
        </w:rPr>
        <w:t>E1</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i w:val="0"/>
          <w:strike w:val="0"/>
          <w:color w:val="auto"/>
          <w:sz w:val="27"/>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i w:val="0"/>
          <w:strike w:val="0"/>
          <w:color w:val="auto"/>
          <w:sz w:val="22"/>
          <w:highlight w:val="none"/>
          <w:u w:val="none"/>
          <w:vertAlign w:val="baseline"/>
          <w:rtl w:val="0"/>
        </w:rPr>
      </w:pPr>
      <w:r>
        <w:rPr>
          <w:rFonts w:ascii="Times New Roman" w:eastAsia="Times New Roman" w:hAnsi="Times New Roman" w:cs="Times New Roman"/>
          <w:b/>
          <w:i w:val="0"/>
          <w:strike w:val="0"/>
          <w:color w:val="auto"/>
          <w:sz w:val="27"/>
          <w:highlight w:val="none"/>
          <w:u w:val="none"/>
          <w:vertAlign w:val="baseline"/>
          <w:rtl w:val="0"/>
        </w:rPr>
        <w:t xml:space="preserve">PR1. </w:t>
      </w:r>
      <w:r>
        <w:rPr>
          <w:rFonts w:ascii="Times New Roman" w:eastAsia="Times New Roman" w:hAnsi="Times New Roman" w:cs="Times New Roman"/>
          <w:b/>
          <w:i w:val="0"/>
          <w:strike w:val="0"/>
          <w:color w:val="auto"/>
          <w:sz w:val="22"/>
          <w:highlight w:val="none"/>
          <w:u w:val="none"/>
          <w:vertAlign w:val="baseline"/>
          <w:rtl w:val="0"/>
        </w:rPr>
        <w:t>Desde la lectura de primavera silenciosa, ¿cómo se cuestiona la validez del conocimiento científico cuando la industria oculta o minimiza los efectos de los pesticidas en la salud y la biodiversidad?</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i w:val="0"/>
          <w:strike w:val="0"/>
          <w:color w:val="auto"/>
          <w:sz w:val="22"/>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RP1</w:t>
      </w:r>
      <w:r>
        <w:rPr>
          <w:rFonts w:ascii="Times New Roman" w:eastAsia="Times New Roman" w:hAnsi="Times New Roman" w:cs="Times New Roman"/>
          <w:b/>
          <w:i w:val="0"/>
          <w:strike w:val="0"/>
          <w:color w:val="auto"/>
          <w:sz w:val="24"/>
          <w:highlight w:val="none"/>
          <w:u w:val="none"/>
          <w:vertAlign w:val="baseline"/>
          <w:rtl w:val="0"/>
        </w:rPr>
        <w:t>.</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Primavera silenciosa</w:t>
      </w:r>
      <w:r>
        <w:rPr>
          <w:rFonts w:ascii="Times New Roman" w:eastAsia="Times New Roman" w:hAnsi="Times New Roman" w:cs="Times New Roman"/>
          <w:b w:val="0"/>
          <w:i w:val="0"/>
          <w:strike w:val="0"/>
          <w:color w:val="auto"/>
          <w:sz w:val="24"/>
          <w:highlight w:val="none"/>
          <w:u w:val="none"/>
          <w:vertAlign w:val="baseline"/>
          <w:rtl w:val="0"/>
        </w:rPr>
        <w:t xml:space="preserve"> evidencia que el conocimiento científico no puede ser neutral si está condicionado por intereses económicos. Carson demuestra que los pesticidas como el DDT se usaban sin suficiente investigación independiente sobre sus efectos, lo que pone en duda la objetividad de la ciencia cuando está al servicio de la industria. La validez del conocimiento depende de la transparencia metodológica, la revisión crítica y la incorporación de datos empíricos sobre la salud humana y los ecosistemas.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PR2.</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i w:val="0"/>
          <w:strike w:val="0"/>
          <w:color w:val="auto"/>
          <w:sz w:val="24"/>
          <w:highlight w:val="none"/>
          <w:u w:val="none"/>
          <w:vertAlign w:val="baseline"/>
          <w:rtl w:val="0"/>
        </w:rPr>
        <w:t>En La pedagogía ambiental en la construcción de una ética para la vida urbana, ¿qué fuentes de conocimiento son necesarias para fundamentar una pedagogía crítica: el saber científico, el saber comunitario, ¿o ambos en interacción?</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RP2.</w:t>
      </w:r>
      <w:r>
        <w:rPr>
          <w:rFonts w:ascii="Times New Roman" w:eastAsia="Times New Roman" w:hAnsi="Times New Roman" w:cs="Times New Roman"/>
          <w:b w:val="0"/>
          <w:i w:val="0"/>
          <w:strike w:val="0"/>
          <w:color w:val="auto"/>
          <w:sz w:val="24"/>
          <w:highlight w:val="none"/>
          <w:u w:val="none"/>
          <w:vertAlign w:val="baseline"/>
          <w:rtl w:val="0"/>
        </w:rPr>
        <w:t xml:space="preserve"> En </w:t>
      </w:r>
      <w:r>
        <w:rPr>
          <w:rFonts w:ascii="Times New Roman" w:eastAsia="Times New Roman" w:hAnsi="Times New Roman" w:cs="Times New Roman"/>
          <w:b w:val="0"/>
          <w:i w:val="0"/>
          <w:strike w:val="0"/>
          <w:color w:val="auto"/>
          <w:sz w:val="24"/>
          <w:highlight w:val="none"/>
          <w:u w:val="none"/>
          <w:vertAlign w:val="baseline"/>
          <w:rtl w:val="0"/>
        </w:rPr>
        <w:t>La pedagogía ambiental en la construcción de una ética para la vida urbana</w:t>
      </w:r>
      <w:r>
        <w:rPr>
          <w:rFonts w:ascii="Times New Roman" w:eastAsia="Times New Roman" w:hAnsi="Times New Roman" w:cs="Times New Roman"/>
          <w:b w:val="0"/>
          <w:i w:val="0"/>
          <w:strike w:val="0"/>
          <w:color w:val="auto"/>
          <w:sz w:val="24"/>
          <w:highlight w:val="none"/>
          <w:u w:val="none"/>
          <w:vertAlign w:val="baseline"/>
          <w:rtl w:val="0"/>
        </w:rPr>
        <w:t>, considero que la base epistemológica debe ser híbrida: el conocimiento científico aporta datos verificables sobre contaminación, cambio climático o urbanización, mientras que el conocimiento comunitario permite contextualizar los problemas en realidades sociales específicas. Sin esta interacción, la pedagogía ambiental quedaría incompleta.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 xml:space="preserve">PR3. </w:t>
      </w:r>
      <w:r>
        <w:rPr>
          <w:rFonts w:ascii="Times New Roman" w:eastAsia="Times New Roman" w:hAnsi="Times New Roman" w:cs="Times New Roman"/>
          <w:b/>
          <w:i w:val="0"/>
          <w:strike w:val="0"/>
          <w:color w:val="auto"/>
          <w:sz w:val="24"/>
          <w:highlight w:val="none"/>
          <w:u w:val="none"/>
          <w:vertAlign w:val="baseline"/>
          <w:rtl w:val="0"/>
        </w:rPr>
        <w:t>Según Carson, los ecosistemas no son entornos aislados sino sistemas interdependientes: ¿qué implicaciones ontológicas tiene entender al ser humano como parte de la trama de la vida y no como dominador de ella?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RP3.</w:t>
      </w:r>
      <w:r>
        <w:rPr>
          <w:rFonts w:ascii="Times New Roman" w:eastAsia="Times New Roman" w:hAnsi="Times New Roman" w:cs="Times New Roman"/>
          <w:b w:val="0"/>
          <w:i w:val="0"/>
          <w:strike w:val="0"/>
          <w:color w:val="auto"/>
          <w:sz w:val="24"/>
          <w:highlight w:val="none"/>
          <w:u w:val="none"/>
          <w:vertAlign w:val="baseline"/>
          <w:rtl w:val="0"/>
        </w:rPr>
        <w:t xml:space="preserve"> Entender al ser humano como parte de la trama de la vida implica abandonar la visión antropocéntrica. Ontológicamente, esto significa reconocer que el ser humano no está por encima de la naturaleza, sino que depende de sus ciclos biogeoquímicos y de la estabilidad ecológica. La realidad se concibe como un sistema complejo donde la alteración de un elemento repercute en el todo.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PR4.</w:t>
      </w:r>
      <w:r>
        <w:rPr>
          <w:rFonts w:ascii="Times New Roman" w:eastAsia="Times New Roman" w:hAnsi="Times New Roman" w:cs="Times New Roman"/>
          <w:b/>
          <w:i w:val="0"/>
          <w:strike w:val="0"/>
          <w:color w:val="auto"/>
          <w:sz w:val="24"/>
          <w:highlight w:val="none"/>
          <w:u w:val="none"/>
          <w:vertAlign w:val="baseline"/>
          <w:rtl w:val="0"/>
        </w:rPr>
        <w:t>En la pedagogía ambiental urbana, ¿cómo se redefine la idea de “habitar la ciudad” cuando la vida humana se concibe como inseparable del cuidado de la naturaleza y de la justicia social?</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RP4.</w:t>
      </w:r>
      <w:r>
        <w:rPr>
          <w:rFonts w:ascii="Times New Roman" w:eastAsia="Times New Roman" w:hAnsi="Times New Roman" w:cs="Times New Roman"/>
          <w:b w:val="0"/>
          <w:i w:val="0"/>
          <w:strike w:val="0"/>
          <w:color w:val="auto"/>
          <w:sz w:val="24"/>
          <w:highlight w:val="none"/>
          <w:u w:val="none"/>
          <w:vertAlign w:val="baseline"/>
          <w:rtl w:val="0"/>
        </w:rPr>
        <w:t xml:space="preserve"> Habitar la ciudad desde la pedagogía ambiental implica redefinir la ontología urbana: la ciudad no es un espacio separado de la naturaleza, sino un ecosistema socioambiental. Reconocer esto significa asumir que los problemas urbanos (contaminación, pérdida de áreas verdes, desigualdad) son expresiones de una crisis en nuestra relación con la vida. Habitar, entonces, es coexistir en equilibrio con lo natural y lo social.</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PR5.</w:t>
      </w:r>
      <w:r>
        <w:rPr>
          <w:rFonts w:ascii="Times New Roman" w:eastAsia="Times New Roman" w:hAnsi="Times New Roman" w:cs="Times New Roman"/>
          <w:b/>
          <w:i w:val="0"/>
          <w:strike w:val="0"/>
          <w:color w:val="auto"/>
          <w:sz w:val="24"/>
          <w:highlight w:val="none"/>
          <w:u w:val="none"/>
          <w:vertAlign w:val="baseline"/>
          <w:rtl w:val="0"/>
        </w:rPr>
        <w:t>Primavera silenciosa utiliza un lenguaje poético y accesible para denunciar un problema científico complejo: ¿qué papel juega el lenguaje en la construcción de conciencia ambiental y en la conexión con un público amplio?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RP5.</w:t>
      </w:r>
      <w:r>
        <w:rPr>
          <w:rFonts w:ascii="Times New Roman" w:eastAsia="Times New Roman" w:hAnsi="Times New Roman" w:cs="Times New Roman"/>
          <w:b w:val="0"/>
          <w:i w:val="0"/>
          <w:strike w:val="0"/>
          <w:color w:val="auto"/>
          <w:sz w:val="24"/>
          <w:highlight w:val="none"/>
          <w:u w:val="none"/>
          <w:vertAlign w:val="baseline"/>
          <w:rtl w:val="0"/>
        </w:rPr>
        <w:t xml:space="preserve"> Carson utilizó un lenguaje accesible, narrativo y a veces poético para traducir datos técnicos en imágenes comprensibles, lo que aumentó el impacto de su obra. Esto muestra que la dimensión cognitivo-lingüística es esencial: un conocimiento que no se comunica con claridad pierde eficacia social. El lenguaje, bien empleado, convierte un problema científico en una preocupación pública.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PR6.</w:t>
      </w:r>
      <w:r>
        <w:rPr>
          <w:rFonts w:ascii="Times New Roman" w:eastAsia="Times New Roman" w:hAnsi="Times New Roman" w:cs="Times New Roman"/>
          <w:b/>
          <w:i w:val="0"/>
          <w:strike w:val="0"/>
          <w:color w:val="auto"/>
          <w:sz w:val="24"/>
          <w:highlight w:val="none"/>
          <w:u w:val="none"/>
          <w:vertAlign w:val="baseline"/>
          <w:rtl w:val="0"/>
        </w:rPr>
        <w:t>En la pedagogía ambiental, ¿qué estrategias discursivas o narrativas resultan más efectivas para transformar percepciones urbanas sobre la relación entre sociedad y naturaleza?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RP6.</w:t>
      </w:r>
      <w:r>
        <w:rPr>
          <w:rFonts w:ascii="Times New Roman" w:eastAsia="Times New Roman" w:hAnsi="Times New Roman" w:cs="Times New Roman"/>
          <w:b w:val="0"/>
          <w:i w:val="0"/>
          <w:strike w:val="0"/>
          <w:color w:val="auto"/>
          <w:sz w:val="24"/>
          <w:highlight w:val="none"/>
          <w:u w:val="none"/>
          <w:vertAlign w:val="baseline"/>
          <w:rtl w:val="0"/>
        </w:rPr>
        <w:t xml:space="preserve"> En la pedagogía ambiental, las estrategias discursivas más efectivas son aquellas que mezclan datos verificables con narrativas significativas. Por ejemplo, mostrar indicadores de contaminación en conjunto con relatos de comunidades urbanas afectadas. Esta combinación facilita la comprensión y genera un discurso crítico que interpela tanto a la razón como a la sensibilidad de los ciudadanos.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 xml:space="preserve">PR7. </w:t>
      </w:r>
      <w:r>
        <w:rPr>
          <w:rFonts w:ascii="Times New Roman" w:eastAsia="Times New Roman" w:hAnsi="Times New Roman" w:cs="Times New Roman"/>
          <w:b/>
          <w:i w:val="0"/>
          <w:strike w:val="0"/>
          <w:color w:val="auto"/>
          <w:sz w:val="24"/>
          <w:highlight w:val="none"/>
          <w:u w:val="none"/>
          <w:vertAlign w:val="baseline"/>
          <w:rtl w:val="0"/>
        </w:rPr>
        <w:t>A partir de las denuncias de Carson sobre los pesticidas, ¿qué valores y actitudes deberían guiar las decisiones de futuros profesionales frente a los dilemas entre desarrollo económico y protección ambiental?</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RP7.</w:t>
      </w:r>
      <w:r>
        <w:rPr>
          <w:rFonts w:ascii="Times New Roman" w:eastAsia="Times New Roman" w:hAnsi="Times New Roman" w:cs="Times New Roman"/>
          <w:b w:val="0"/>
          <w:i w:val="0"/>
          <w:strike w:val="0"/>
          <w:color w:val="auto"/>
          <w:sz w:val="24"/>
          <w:highlight w:val="none"/>
          <w:u w:val="none"/>
          <w:vertAlign w:val="baseline"/>
          <w:rtl w:val="0"/>
        </w:rPr>
        <w:t xml:space="preserve"> Los valores centrales deben ser la responsabilidad, la precaución y la ética del cuidado. Frente al dilema entre desarrollo y ambiente, los profesionales deben guiarse por la evidencia científica que demuestra que el crecimiento ilimitado es insostenible. La actitud crítica frente a intereses económicos y la capacidad de tomar decisiones informadas con base en datos son fundamentales.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PR8.</w:t>
      </w:r>
      <w:r>
        <w:rPr>
          <w:rFonts w:ascii="Times New Roman" w:eastAsia="Times New Roman" w:hAnsi="Times New Roman" w:cs="Times New Roman"/>
          <w:b/>
          <w:i w:val="0"/>
          <w:strike w:val="0"/>
          <w:color w:val="auto"/>
          <w:sz w:val="24"/>
          <w:highlight w:val="none"/>
          <w:u w:val="none"/>
          <w:vertAlign w:val="baseline"/>
          <w:rtl w:val="0"/>
        </w:rPr>
        <w:t>En el contexto de la ética para la vida urbana, ¿qué motivaciones personales y colectivas son necesarias para impulsar cambios en el estilo de vida de los ciudadanos hacia prácticas más sostenibles y solidarias?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RP8.</w:t>
      </w:r>
      <w:r>
        <w:rPr>
          <w:rFonts w:ascii="Times New Roman" w:eastAsia="Times New Roman" w:hAnsi="Times New Roman" w:cs="Times New Roman"/>
          <w:b w:val="0"/>
          <w:i w:val="0"/>
          <w:strike w:val="0"/>
          <w:color w:val="auto"/>
          <w:sz w:val="24"/>
          <w:highlight w:val="none"/>
          <w:u w:val="none"/>
          <w:vertAlign w:val="baseline"/>
          <w:rtl w:val="0"/>
        </w:rPr>
        <w:t xml:space="preserve"> En el contexto urbano, la motivación debe surgir del reconocimiento de que la sostenibilidad es una condición para la vida digna. Se necesitan motivaciones individuales, como el compromiso con estilos de vida sostenibles, y colectivas, como la presión ciudadana para transformar políticas públicas. Éticamente, la acción no solo se orienta al presente, sino también a garantizar el bienestar de las generaciones futuras.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