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316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55"/>
        <w:gridCol w:w="579"/>
        <w:gridCol w:w="684"/>
        <w:gridCol w:w="592"/>
        <w:gridCol w:w="1134"/>
        <w:gridCol w:w="8425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5369"/>
        <w:gridCol w:w="25"/>
      </w:tblGrid>
      <w:tr w:rsidR="00A0110B" w:rsidTr="00A0110B">
        <w:trPr>
          <w:gridAfter w:val="1"/>
          <w:wAfter w:w="25" w:type="dxa"/>
        </w:trPr>
        <w:tc>
          <w:tcPr>
            <w:tcW w:w="1818" w:type="dxa"/>
            <w:gridSpan w:val="3"/>
          </w:tcPr>
          <w:p w:rsidR="00A0110B" w:rsidRPr="00C959C4" w:rsidRDefault="00A0110B" w:rsidP="00F8142D">
            <w:pPr>
              <w:jc w:val="center"/>
              <w:rPr>
                <w:b/>
                <w:sz w:val="16"/>
                <w:szCs w:val="16"/>
              </w:rPr>
            </w:pPr>
          </w:p>
          <w:p w:rsidR="00C959C4" w:rsidRPr="00A0110B" w:rsidRDefault="00C959C4" w:rsidP="00C959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nl-NL"/>
              </w:rPr>
              <w:drawing>
                <wp:inline distT="0" distB="0" distL="0" distR="0">
                  <wp:extent cx="1017270" cy="101727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zonder_teks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1" w:type="dxa"/>
            <w:gridSpan w:val="3"/>
          </w:tcPr>
          <w:p w:rsidR="00A0110B" w:rsidRDefault="00A0110B" w:rsidP="00F8142D">
            <w:pPr>
              <w:jc w:val="center"/>
              <w:rPr>
                <w:b/>
                <w:sz w:val="32"/>
                <w:szCs w:val="32"/>
              </w:rPr>
            </w:pPr>
          </w:p>
          <w:p w:rsidR="00C959C4" w:rsidRPr="00C959C4" w:rsidRDefault="00063D12" w:rsidP="00C959C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2018-07-23</w:t>
            </w:r>
          </w:p>
          <w:p w:rsidR="00A0110B" w:rsidRPr="00C959C4" w:rsidRDefault="00A0110B" w:rsidP="00C959C4">
            <w:pPr>
              <w:jc w:val="center"/>
              <w:rPr>
                <w:b/>
                <w:sz w:val="36"/>
                <w:szCs w:val="36"/>
              </w:rPr>
            </w:pPr>
            <w:r w:rsidRPr="00C959C4">
              <w:rPr>
                <w:b/>
                <w:sz w:val="36"/>
                <w:szCs w:val="36"/>
              </w:rPr>
              <w:t>Projectoverzicht/verslag IM-overleg Noord-Hollands Archief</w:t>
            </w:r>
          </w:p>
          <w:p w:rsidR="00A0110B" w:rsidRPr="00431068" w:rsidRDefault="00A0110B" w:rsidP="00F814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5394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</w:tr>
      <w:tr w:rsidR="00A1039A" w:rsidRPr="00A637C7" w:rsidTr="007C0342">
        <w:tc>
          <w:tcPr>
            <w:tcW w:w="1134" w:type="dxa"/>
            <w:gridSpan w:val="2"/>
            <w:shd w:val="clear" w:color="auto" w:fill="FFFF00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BV/Alg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Maarten Brock, Ed Sewalt (sec)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7C0342">
        <w:tc>
          <w:tcPr>
            <w:tcW w:w="1134" w:type="dxa"/>
            <w:gridSpan w:val="2"/>
            <w:shd w:val="clear" w:color="auto" w:fill="B8CCE4" w:themeFill="accent1" w:themeFillTint="66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3904E3">
            <w:pPr>
              <w:rPr>
                <w:b/>
              </w:rPr>
            </w:pPr>
            <w:r w:rsidRPr="003904E3">
              <w:rPr>
                <w:b/>
              </w:rPr>
              <w:t>Patrick Vlegels</w:t>
            </w:r>
            <w:r w:rsidR="00A1039A">
              <w:rPr>
                <w:b/>
              </w:rPr>
              <w:t>, Antoinet Nijssen, Roomyla Choenni (</w:t>
            </w:r>
            <w:proofErr w:type="spellStart"/>
            <w:r w:rsidR="00A1039A">
              <w:rPr>
                <w:b/>
              </w:rPr>
              <w:t>vz</w:t>
            </w:r>
            <w:proofErr w:type="spellEnd"/>
            <w:r w:rsidR="00A1039A">
              <w:rPr>
                <w:b/>
              </w:rPr>
              <w:t>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7C0342">
        <w:tc>
          <w:tcPr>
            <w:tcW w:w="1134" w:type="dxa"/>
            <w:gridSpan w:val="2"/>
            <w:shd w:val="clear" w:color="auto" w:fill="FABF8F" w:themeFill="accent6" w:themeFillTint="99"/>
          </w:tcPr>
          <w:p w:rsidR="00A1039A" w:rsidRPr="00A637C7" w:rsidRDefault="00A1039A"/>
        </w:tc>
        <w:tc>
          <w:tcPr>
            <w:tcW w:w="1276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Publiek</w:t>
            </w: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 w:rsidRPr="003904E3">
              <w:rPr>
                <w:b/>
                <w:color w:val="C00000"/>
              </w:rPr>
              <w:t>Klaartje Pompe</w:t>
            </w:r>
            <w:r w:rsidR="003904E3">
              <w:rPr>
                <w:b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D072A6" w:rsidRPr="004D6384" w:rsidTr="007C0342">
        <w:tc>
          <w:tcPr>
            <w:tcW w:w="1134" w:type="dxa"/>
            <w:gridSpan w:val="2"/>
            <w:shd w:val="clear" w:color="auto" w:fill="FF0000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 xml:space="preserve">On </w:t>
            </w:r>
            <w:proofErr w:type="spellStart"/>
            <w:r w:rsidRPr="00D072A6">
              <w:rPr>
                <w:rFonts w:eastAsia="Dotum" w:cs="NettoOT"/>
                <w:color w:val="FFFFFF" w:themeColor="background1"/>
              </w:rPr>
              <w:t>Hold</w:t>
            </w:r>
            <w:proofErr w:type="spellEnd"/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1134" w:type="dxa"/>
            <w:shd w:val="clear" w:color="auto" w:fill="92D050"/>
          </w:tcPr>
          <w:p w:rsidR="00D072A6" w:rsidRDefault="00D072A6" w:rsidP="00D072A6">
            <w:pPr>
              <w:jc w:val="center"/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>GO</w:t>
            </w:r>
          </w:p>
        </w:tc>
        <w:tc>
          <w:tcPr>
            <w:tcW w:w="8450" w:type="dxa"/>
            <w:gridSpan w:val="2"/>
            <w:shd w:val="clear" w:color="auto" w:fill="FFFFFF" w:themeFill="background1"/>
          </w:tcPr>
          <w:p w:rsidR="00D072A6" w:rsidRDefault="00980C47" w:rsidP="0080116F">
            <w:pPr>
              <w:rPr>
                <w:rFonts w:eastAsia="Dotum" w:cs="NettoOT"/>
                <w:color w:val="C00000"/>
              </w:rPr>
            </w:pPr>
            <w:r>
              <w:rPr>
                <w:rFonts w:eastAsia="Dotum" w:cs="NettoOT"/>
                <w:color w:val="C00000"/>
              </w:rPr>
              <w:t>= Goed te keuren door management Noord-Hollands Archief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</w:tr>
      <w:tr w:rsidR="00DA14DB" w:rsidRPr="004D6384" w:rsidTr="007C0342">
        <w:tc>
          <w:tcPr>
            <w:tcW w:w="555" w:type="dxa"/>
            <w:shd w:val="clear" w:color="auto" w:fill="FFFFFF" w:themeFill="background1"/>
          </w:tcPr>
          <w:p w:rsidR="00DA14DB" w:rsidRPr="00E90237" w:rsidRDefault="00DA14DB" w:rsidP="00FF731B">
            <w:pPr>
              <w:jc w:val="right"/>
            </w:pPr>
          </w:p>
        </w:tc>
        <w:tc>
          <w:tcPr>
            <w:tcW w:w="579" w:type="dxa"/>
            <w:shd w:val="clear" w:color="auto" w:fill="FFFFFF" w:themeFill="background1"/>
          </w:tcPr>
          <w:p w:rsidR="00DA14DB" w:rsidRPr="00BD5648" w:rsidRDefault="00BD5648" w:rsidP="00274F5F">
            <w:pPr>
              <w:jc w:val="center"/>
            </w:pPr>
            <w:r w:rsidRPr="00BD5648">
              <w:t>1</w:t>
            </w:r>
            <w:r w:rsidR="0075243D">
              <w:t>.0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DA14DB" w:rsidRPr="00B360CB" w:rsidRDefault="00DA14DB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6E1E60" w:rsidRDefault="00063D12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Mededelingen:</w:t>
            </w:r>
          </w:p>
          <w:p w:rsidR="00063D12" w:rsidRPr="005F699A" w:rsidRDefault="003904E3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Eerst keer dat Patrick deelneemt aan het IM-overleg.</w:t>
            </w:r>
            <w:r w:rsidR="007A6172">
              <w:rPr>
                <w:rFonts w:ascii="Calibri" w:hAnsi="Calibri" w:cs="Calibri"/>
                <w:bCs/>
              </w:rPr>
              <w:t xml:space="preserve"> Overleg met de Provincie inzake de bijlage van de akte van overbrenging is begin juni geweest. De volgende keer gaat </w:t>
            </w:r>
            <w:r w:rsidR="00063D12">
              <w:rPr>
                <w:rFonts w:ascii="Calibri" w:hAnsi="Calibri" w:cs="Calibri"/>
                <w:bCs/>
              </w:rPr>
              <w:t>de bijeenkomst voor de Provincie</w:t>
            </w:r>
            <w:r w:rsidR="007A6172">
              <w:rPr>
                <w:rFonts w:ascii="Calibri" w:hAnsi="Calibri" w:cs="Calibri"/>
                <w:bCs/>
              </w:rPr>
              <w:t xml:space="preserve"> over het behaalde resultaat.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F35C6C" w:rsidRPr="004D6384" w:rsidTr="007C0342">
        <w:tc>
          <w:tcPr>
            <w:tcW w:w="555" w:type="dxa"/>
            <w:shd w:val="clear" w:color="auto" w:fill="FABF8F" w:themeFill="accent6" w:themeFillTint="99"/>
          </w:tcPr>
          <w:p w:rsidR="00F35C6C" w:rsidRPr="00E90237" w:rsidRDefault="00F35C6C" w:rsidP="00FF731B">
            <w:pPr>
              <w:jc w:val="right"/>
            </w:pPr>
          </w:p>
        </w:tc>
        <w:tc>
          <w:tcPr>
            <w:tcW w:w="579" w:type="dxa"/>
            <w:shd w:val="clear" w:color="auto" w:fill="FABF8F" w:themeFill="accent6" w:themeFillTint="99"/>
          </w:tcPr>
          <w:p w:rsidR="00F35C6C" w:rsidRPr="00BD5648" w:rsidRDefault="00F35C6C" w:rsidP="00274F5F">
            <w:pPr>
              <w:jc w:val="center"/>
            </w:pPr>
            <w:r>
              <w:t>2.0</w:t>
            </w:r>
          </w:p>
        </w:tc>
        <w:tc>
          <w:tcPr>
            <w:tcW w:w="1276" w:type="dxa"/>
            <w:gridSpan w:val="2"/>
            <w:shd w:val="clear" w:color="auto" w:fill="FABF8F" w:themeFill="accent6" w:themeFillTint="99"/>
          </w:tcPr>
          <w:p w:rsidR="00F35C6C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MYLEX</w:t>
            </w:r>
          </w:p>
        </w:tc>
        <w:tc>
          <w:tcPr>
            <w:tcW w:w="9584" w:type="dxa"/>
            <w:gridSpan w:val="3"/>
            <w:shd w:val="clear" w:color="auto" w:fill="FABF8F" w:themeFill="accent6" w:themeFillTint="99"/>
          </w:tcPr>
          <w:p w:rsidR="007C0342" w:rsidRDefault="00B35E1A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Er is 23-07 overleg geweest tussen het NA en het NHA. </w:t>
            </w:r>
            <w:r w:rsidR="00DE6F89">
              <w:rPr>
                <w:rFonts w:ascii="Calibri" w:hAnsi="Calibri" w:cs="Calibri"/>
                <w:bCs/>
              </w:rPr>
              <w:t xml:space="preserve">Het NHA gaat verkennen of we </w:t>
            </w:r>
            <w:proofErr w:type="spellStart"/>
            <w:r w:rsidR="00DE6F89">
              <w:rPr>
                <w:rFonts w:ascii="Calibri" w:hAnsi="Calibri" w:cs="Calibri"/>
                <w:bCs/>
              </w:rPr>
              <w:t>Mylex</w:t>
            </w:r>
            <w:proofErr w:type="spellEnd"/>
            <w:r w:rsidR="00DE6F89">
              <w:rPr>
                <w:rFonts w:ascii="Calibri" w:hAnsi="Calibri" w:cs="Calibri"/>
                <w:bCs/>
              </w:rPr>
              <w:t xml:space="preserve"> in kunnen zetten voor de gewone keten digital born. </w:t>
            </w:r>
            <w:r>
              <w:rPr>
                <w:rFonts w:ascii="Calibri" w:hAnsi="Calibri" w:cs="Calibri"/>
                <w:bCs/>
              </w:rPr>
              <w:t xml:space="preserve">Roomyla zoekt hiervoor contact met Gijsbert Kruithof van </w:t>
            </w:r>
          </w:p>
          <w:p w:rsidR="00F35C6C" w:rsidRPr="005F699A" w:rsidRDefault="00B35E1A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het NA. </w:t>
            </w:r>
            <w:r w:rsidR="00DE6F89">
              <w:rPr>
                <w:rFonts w:ascii="Calibri" w:hAnsi="Calibri" w:cs="Calibri"/>
                <w:bCs/>
              </w:rPr>
              <w:t xml:space="preserve">De onderdelen welke De Ree levert </w:t>
            </w:r>
            <w:r>
              <w:rPr>
                <w:rFonts w:ascii="Calibri" w:hAnsi="Calibri" w:cs="Calibri"/>
                <w:bCs/>
              </w:rPr>
              <w:t xml:space="preserve">om op </w:t>
            </w:r>
            <w:proofErr w:type="spellStart"/>
            <w:r>
              <w:rPr>
                <w:rFonts w:ascii="Calibri" w:hAnsi="Calibri" w:cs="Calibri"/>
                <w:bCs/>
              </w:rPr>
              <w:t>Preservica</w:t>
            </w:r>
            <w:proofErr w:type="spellEnd"/>
            <w:r>
              <w:rPr>
                <w:rFonts w:ascii="Calibri" w:hAnsi="Calibri" w:cs="Calibri"/>
                <w:bCs/>
              </w:rPr>
              <w:t xml:space="preserve"> aan te sluiten </w:t>
            </w:r>
            <w:r w:rsidR="00DE6F89">
              <w:rPr>
                <w:rFonts w:ascii="Calibri" w:hAnsi="Calibri" w:cs="Calibri"/>
                <w:bCs/>
              </w:rPr>
              <w:t>zouden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="00DE6F89">
              <w:rPr>
                <w:rFonts w:ascii="Calibri" w:hAnsi="Calibri" w:cs="Calibri"/>
                <w:bCs/>
              </w:rPr>
              <w:t xml:space="preserve"> dan </w:t>
            </w:r>
            <w:r w:rsidR="007A6172">
              <w:rPr>
                <w:rFonts w:ascii="Calibri" w:hAnsi="Calibri" w:cs="Calibri"/>
                <w:bCs/>
              </w:rPr>
              <w:t xml:space="preserve">eventueel </w:t>
            </w:r>
            <w:r w:rsidR="00DE6F89">
              <w:rPr>
                <w:rFonts w:ascii="Calibri" w:hAnsi="Calibri" w:cs="Calibri"/>
                <w:bCs/>
              </w:rPr>
              <w:t xml:space="preserve">door </w:t>
            </w:r>
            <w:proofErr w:type="spellStart"/>
            <w:r w:rsidR="00DE6F89">
              <w:rPr>
                <w:rFonts w:ascii="Calibri" w:hAnsi="Calibri" w:cs="Calibri"/>
                <w:bCs/>
              </w:rPr>
              <w:t>Mylex</w:t>
            </w:r>
            <w:proofErr w:type="spellEnd"/>
            <w:r w:rsidR="00DE6F89">
              <w:rPr>
                <w:rFonts w:ascii="Calibri" w:hAnsi="Calibri" w:cs="Calibri"/>
                <w:bCs/>
              </w:rPr>
              <w:t xml:space="preserve"> geleverd kun</w:t>
            </w:r>
            <w:r>
              <w:rPr>
                <w:rFonts w:ascii="Calibri" w:hAnsi="Calibri" w:cs="Calibri"/>
                <w:bCs/>
              </w:rPr>
              <w:t>n</w:t>
            </w:r>
            <w:r w:rsidR="00DE6F89">
              <w:rPr>
                <w:rFonts w:ascii="Calibri" w:hAnsi="Calibri" w:cs="Calibri"/>
                <w:bCs/>
              </w:rPr>
              <w:t xml:space="preserve">en worden. </w:t>
            </w:r>
            <w:r w:rsidR="007A6172">
              <w:rPr>
                <w:rFonts w:ascii="Calibri" w:hAnsi="Calibri" w:cs="Calibri"/>
                <w:bCs/>
              </w:rPr>
              <w:t xml:space="preserve">Er </w:t>
            </w:r>
            <w:r>
              <w:rPr>
                <w:rFonts w:ascii="Calibri" w:hAnsi="Calibri" w:cs="Calibri"/>
                <w:bCs/>
              </w:rPr>
              <w:t>komt</w:t>
            </w:r>
            <w:r w:rsidR="007A6172">
              <w:rPr>
                <w:rFonts w:ascii="Calibri" w:hAnsi="Calibri" w:cs="Calibri"/>
                <w:bCs/>
              </w:rPr>
              <w:t xml:space="preserve"> geen offerte voor de ontsluiting van mee</w:t>
            </w:r>
            <w:r w:rsidR="00E3782D">
              <w:rPr>
                <w:rFonts w:ascii="Calibri" w:hAnsi="Calibri" w:cs="Calibri"/>
                <w:bCs/>
              </w:rPr>
              <w:t>r</w:t>
            </w:r>
            <w:r w:rsidR="007A6172">
              <w:rPr>
                <w:rFonts w:ascii="Calibri" w:hAnsi="Calibri" w:cs="Calibri"/>
                <w:bCs/>
              </w:rPr>
              <w:t>dere bronnen.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7C0342">
        <w:tc>
          <w:tcPr>
            <w:tcW w:w="555" w:type="dxa"/>
            <w:shd w:val="clear" w:color="auto" w:fill="FABF8F" w:themeFill="accent6" w:themeFillTint="99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FABF8F" w:themeFill="accent6" w:themeFillTint="99"/>
          </w:tcPr>
          <w:p w:rsidR="00BD5648" w:rsidRPr="00BD5648" w:rsidRDefault="00F35C6C" w:rsidP="00274F5F">
            <w:pPr>
              <w:jc w:val="center"/>
            </w:pPr>
            <w:r>
              <w:t>3.0</w:t>
            </w:r>
          </w:p>
        </w:tc>
        <w:tc>
          <w:tcPr>
            <w:tcW w:w="1276" w:type="dxa"/>
            <w:gridSpan w:val="2"/>
            <w:shd w:val="clear" w:color="auto" w:fill="FABF8F" w:themeFill="accent6" w:themeFillTint="99"/>
          </w:tcPr>
          <w:p w:rsidR="00BD5648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Veiligheid</w:t>
            </w:r>
          </w:p>
        </w:tc>
        <w:tc>
          <w:tcPr>
            <w:tcW w:w="9584" w:type="dxa"/>
            <w:gridSpan w:val="3"/>
            <w:shd w:val="clear" w:color="auto" w:fill="FABF8F" w:themeFill="accent6" w:themeFillTint="99"/>
          </w:tcPr>
          <w:p w:rsidR="00955DA3" w:rsidRDefault="00DE6F89" w:rsidP="00C07463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Onderzoek </w:t>
            </w:r>
            <w:r w:rsidR="007A6172">
              <w:rPr>
                <w:rFonts w:eastAsia="Dotum" w:cstheme="minorHAnsi"/>
              </w:rPr>
              <w:t xml:space="preserve">naar de bezoekersregistratie </w:t>
            </w:r>
            <w:r>
              <w:rPr>
                <w:rFonts w:eastAsia="Dotum" w:cstheme="minorHAnsi"/>
              </w:rPr>
              <w:t xml:space="preserve">nog bezig. </w:t>
            </w:r>
            <w:r w:rsidR="00C07463">
              <w:rPr>
                <w:rFonts w:eastAsia="Dotum" w:cstheme="minorHAnsi"/>
              </w:rPr>
              <w:t xml:space="preserve"> </w:t>
            </w:r>
            <w:r w:rsidR="007A6172">
              <w:rPr>
                <w:rFonts w:eastAsia="Dotum" w:cstheme="minorHAnsi"/>
              </w:rPr>
              <w:t>Maarten liep vrijdag bij vervanging aan tegen het feit dat bepaalde gegevens, zoals geboortedatum en BSN-</w:t>
            </w:r>
            <w:proofErr w:type="spellStart"/>
            <w:r w:rsidR="007A6172">
              <w:rPr>
                <w:rFonts w:eastAsia="Dotum" w:cstheme="minorHAnsi"/>
              </w:rPr>
              <w:t>nr</w:t>
            </w:r>
            <w:proofErr w:type="spellEnd"/>
            <w:r w:rsidR="007A6172">
              <w:rPr>
                <w:rFonts w:eastAsia="Dotum" w:cstheme="minorHAnsi"/>
              </w:rPr>
              <w:t xml:space="preserve"> nog steeds gevraagd worden. Dit moet zo snel mogelijk aangepast. Had al voor 25 mei aangepast moeten zijn. </w:t>
            </w:r>
            <w:r w:rsidR="00955DA3">
              <w:rPr>
                <w:rFonts w:eastAsia="Dotum" w:cstheme="minorHAnsi"/>
              </w:rPr>
              <w:t xml:space="preserve">Ed gaat de projectgroep naar de stand </w:t>
            </w:r>
          </w:p>
          <w:p w:rsidR="006C6332" w:rsidRPr="005A6546" w:rsidRDefault="00955DA3" w:rsidP="00C07463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van zaken vragen. </w:t>
            </w:r>
            <w:r w:rsidR="001D4775">
              <w:rPr>
                <w:rFonts w:eastAsia="Dotum" w:cstheme="minorHAnsi"/>
              </w:rPr>
              <w:t xml:space="preserve">Er dient </w:t>
            </w:r>
            <w:proofErr w:type="spellStart"/>
            <w:r w:rsidR="001D4775">
              <w:rPr>
                <w:rFonts w:eastAsia="Dotum" w:cstheme="minorHAnsi"/>
              </w:rPr>
              <w:t>zsm</w:t>
            </w:r>
            <w:proofErr w:type="spellEnd"/>
            <w:r w:rsidR="001D4775">
              <w:rPr>
                <w:rFonts w:eastAsia="Dotum" w:cstheme="minorHAnsi"/>
              </w:rPr>
              <w:t xml:space="preserve"> actie richting De Ree te komen.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7C0342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BD5648" w:rsidRPr="00BD5648" w:rsidRDefault="00F35C6C" w:rsidP="00274F5F">
            <w:pPr>
              <w:jc w:val="center"/>
            </w:pPr>
            <w:r>
              <w:t>4</w:t>
            </w:r>
            <w:r w:rsidR="0075243D">
              <w:t>.0</w:t>
            </w:r>
          </w:p>
        </w:tc>
        <w:tc>
          <w:tcPr>
            <w:tcW w:w="1276" w:type="dxa"/>
            <w:gridSpan w:val="2"/>
            <w:shd w:val="clear" w:color="auto" w:fill="B6DDE8" w:themeFill="accent5" w:themeFillTint="66"/>
          </w:tcPr>
          <w:p w:rsidR="00BD5648" w:rsidRPr="00B360CB" w:rsidRDefault="006C633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Is</w:t>
            </w:r>
            <w:r w:rsidR="00F22199">
              <w:rPr>
                <w:b/>
                <w:color w:val="C00000"/>
              </w:rPr>
              <w:t>ilcode</w:t>
            </w:r>
            <w:proofErr w:type="spellEnd"/>
          </w:p>
        </w:tc>
        <w:tc>
          <w:tcPr>
            <w:tcW w:w="9584" w:type="dxa"/>
            <w:gridSpan w:val="3"/>
            <w:shd w:val="clear" w:color="auto" w:fill="B6DDE8" w:themeFill="accent5" w:themeFillTint="66"/>
          </w:tcPr>
          <w:p w:rsidR="00BD5648" w:rsidRDefault="001D4775" w:rsidP="001B0FD0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Offerte goed gekeurd, Project loopt: Mappen en </w:t>
            </w:r>
            <w:proofErr w:type="spellStart"/>
            <w:r>
              <w:rPr>
                <w:rFonts w:eastAsia="Dotum" w:cstheme="minorHAnsi"/>
              </w:rPr>
              <w:t>submappen</w:t>
            </w:r>
            <w:proofErr w:type="spellEnd"/>
            <w:r>
              <w:rPr>
                <w:rFonts w:eastAsia="Dotum" w:cstheme="minorHAnsi"/>
              </w:rPr>
              <w:t xml:space="preserve"> op de 01 van de NAS worden inmiddels aangepast in </w:t>
            </w:r>
            <w:proofErr w:type="spellStart"/>
            <w:r>
              <w:rPr>
                <w:rFonts w:eastAsia="Dotum" w:cstheme="minorHAnsi"/>
              </w:rPr>
              <w:t>portioe’s</w:t>
            </w:r>
            <w:proofErr w:type="spellEnd"/>
            <w:r>
              <w:rPr>
                <w:rFonts w:eastAsia="Dotum" w:cstheme="minorHAnsi"/>
              </w:rPr>
              <w:t xml:space="preserve"> van 100 toegangen. Ed is begonnen met de eerste 100. Wanneer hij 26/7 op vakantie is nemen Harco en Antoinet het </w:t>
            </w:r>
            <w:proofErr w:type="spellStart"/>
            <w:r>
              <w:rPr>
                <w:rFonts w:eastAsia="Dotum" w:cstheme="minorHAnsi"/>
              </w:rPr>
              <w:t>opnummeren</w:t>
            </w:r>
            <w:proofErr w:type="spellEnd"/>
            <w:r>
              <w:rPr>
                <w:rFonts w:eastAsia="Dotum" w:cstheme="minorHAnsi"/>
              </w:rPr>
              <w:t xml:space="preserve"> over. </w:t>
            </w:r>
          </w:p>
          <w:p w:rsidR="001D4775" w:rsidRDefault="001D4775" w:rsidP="001B0FD0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Project aanpassen nummering beeldcollecties volgt. Ed zal Gerhard </w:t>
            </w:r>
            <w:proofErr w:type="spellStart"/>
            <w:r>
              <w:rPr>
                <w:rFonts w:eastAsia="Dotum" w:cstheme="minorHAnsi"/>
              </w:rPr>
              <w:t>Hijzeler</w:t>
            </w:r>
            <w:proofErr w:type="spellEnd"/>
            <w:r>
              <w:rPr>
                <w:rFonts w:eastAsia="Dotum" w:cstheme="minorHAnsi"/>
              </w:rPr>
              <w:t xml:space="preserve"> van De Ree vast vragen </w:t>
            </w:r>
          </w:p>
          <w:p w:rsidR="001D4775" w:rsidRPr="00F22199" w:rsidRDefault="001D4775" w:rsidP="001B0FD0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20 september als </w:t>
            </w:r>
            <w:proofErr w:type="spellStart"/>
            <w:r>
              <w:rPr>
                <w:rFonts w:eastAsia="Dotum" w:cstheme="minorHAnsi"/>
              </w:rPr>
              <w:t>adviesdag</w:t>
            </w:r>
            <w:proofErr w:type="spellEnd"/>
            <w:r>
              <w:rPr>
                <w:rFonts w:eastAsia="Dotum" w:cstheme="minorHAnsi"/>
              </w:rPr>
              <w:t xml:space="preserve"> te reserveren.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7C0342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AB182F" w:rsidRPr="003176BC" w:rsidRDefault="00DE6F89" w:rsidP="003176B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CBS blijft in eigen beheer. Vanochtend besloten</w:t>
            </w:r>
            <w:r w:rsidR="00E3782D">
              <w:rPr>
                <w:rFonts w:ascii="Calibri" w:hAnsi="Calibri" w:cs="Calibri"/>
                <w:bCs/>
              </w:rPr>
              <w:t xml:space="preserve"> door NA en NHA</w:t>
            </w:r>
            <w:r>
              <w:rPr>
                <w:rFonts w:ascii="Calibri" w:hAnsi="Calibri" w:cs="Calibri"/>
                <w:bCs/>
              </w:rPr>
              <w:t xml:space="preserve">. </w:t>
            </w:r>
            <w:r w:rsidR="00E3782D">
              <w:rPr>
                <w:rFonts w:ascii="Calibri" w:hAnsi="Calibri" w:cs="Calibri"/>
                <w:bCs/>
              </w:rPr>
              <w:t>Voorlopig g</w:t>
            </w:r>
            <w:r>
              <w:rPr>
                <w:rFonts w:ascii="Calibri" w:hAnsi="Calibri" w:cs="Calibri"/>
                <w:bCs/>
              </w:rPr>
              <w:t xml:space="preserve">een uitbreiding CMIS </w:t>
            </w:r>
            <w:proofErr w:type="spellStart"/>
            <w:r>
              <w:rPr>
                <w:rFonts w:ascii="Calibri" w:hAnsi="Calibri" w:cs="Calibri"/>
                <w:bCs/>
              </w:rPr>
              <w:t>workbench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r w:rsidR="00E3782D">
              <w:rPr>
                <w:rFonts w:ascii="Calibri" w:hAnsi="Calibri" w:cs="Calibri"/>
                <w:bCs/>
              </w:rPr>
              <w:t xml:space="preserve">, zie project </w:t>
            </w:r>
            <w:proofErr w:type="spellStart"/>
            <w:r w:rsidR="00E3782D">
              <w:rPr>
                <w:rFonts w:ascii="Calibri" w:hAnsi="Calibri" w:cs="Calibri"/>
                <w:bCs/>
              </w:rPr>
              <w:t>Mylex</w:t>
            </w:r>
            <w:proofErr w:type="spellEnd"/>
            <w:r w:rsidR="00E3782D">
              <w:rPr>
                <w:rFonts w:ascii="Calibri" w:hAnsi="Calibri" w:cs="Calibri"/>
                <w:bCs/>
              </w:rPr>
              <w:t xml:space="preserve">. </w:t>
            </w: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7C0342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FABF8F" w:themeFill="accent6" w:themeFillTint="99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276" w:type="dxa"/>
            <w:gridSpan w:val="2"/>
            <w:shd w:val="clear" w:color="auto" w:fill="FABF8F" w:themeFill="accent6" w:themeFillTint="99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584" w:type="dxa"/>
            <w:gridSpan w:val="3"/>
            <w:shd w:val="clear" w:color="auto" w:fill="FABF8F" w:themeFill="accent6" w:themeFillTint="99"/>
          </w:tcPr>
          <w:p w:rsidR="00AB182F" w:rsidRPr="005F699A" w:rsidRDefault="002911B2" w:rsidP="00431068">
            <w:pPr>
              <w:rPr>
                <w:rFonts w:eastAsia="Dotum" w:cs="NettoOT"/>
                <w:sz w:val="24"/>
              </w:rPr>
            </w:pPr>
            <w:r>
              <w:rPr>
                <w:rFonts w:eastAsia="Dotum" w:cs="NettoOT"/>
                <w:sz w:val="24"/>
              </w:rPr>
              <w:t xml:space="preserve">Zie boven.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7C0342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F731B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4.3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Beeld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Pr="005F699A" w:rsidRDefault="00DE6F89" w:rsidP="0075243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</w:t>
            </w:r>
            <w:r w:rsidR="001B665D">
              <w:rPr>
                <w:rFonts w:ascii="Calibri" w:hAnsi="Calibri" w:cs="Calibri"/>
                <w:bCs/>
              </w:rPr>
              <w:t xml:space="preserve">0 september wordt gereserveerd voor een </w:t>
            </w:r>
            <w:proofErr w:type="spellStart"/>
            <w:r w:rsidR="001B665D">
              <w:rPr>
                <w:rFonts w:ascii="Calibri" w:hAnsi="Calibri" w:cs="Calibri"/>
                <w:bCs/>
              </w:rPr>
              <w:t>adviesdag</w:t>
            </w:r>
            <w:proofErr w:type="spellEnd"/>
            <w:r w:rsidR="001B665D">
              <w:rPr>
                <w:rFonts w:ascii="Calibri" w:hAnsi="Calibri" w:cs="Calibri"/>
                <w:bCs/>
              </w:rPr>
              <w:t xml:space="preserve"> De Ree.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7C0342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52E55">
            <w:pPr>
              <w:jc w:val="center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4.4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Genealog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Pr="00E53C9E" w:rsidRDefault="001B665D" w:rsidP="0075243D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L</w:t>
            </w:r>
            <w:r w:rsidR="00DE6F89">
              <w:rPr>
                <w:rFonts w:eastAsia="Dotum" w:cstheme="minorHAnsi"/>
              </w:rPr>
              <w:t>opend</w:t>
            </w:r>
            <w:r>
              <w:rPr>
                <w:rFonts w:eastAsia="Dotum" w:cstheme="minorHAnsi"/>
              </w:rPr>
              <w:t>. Nog geen ontwikkeling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7C0342">
        <w:tc>
          <w:tcPr>
            <w:tcW w:w="555" w:type="dxa"/>
            <w:shd w:val="clear" w:color="auto" w:fill="FF0000"/>
          </w:tcPr>
          <w:p w:rsidR="00CA2A4C" w:rsidRDefault="006E1E60" w:rsidP="00FF731B">
            <w:pPr>
              <w:jc w:val="right"/>
              <w:rPr>
                <w:color w:val="C00000"/>
              </w:rPr>
            </w:pPr>
            <w:r w:rsidRPr="006E1E60">
              <w:rPr>
                <w:color w:val="FFFFFF" w:themeColor="background1"/>
              </w:rPr>
              <w:t>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4.5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Worldcat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CA2A4C" w:rsidRDefault="00DE6F89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Overleg in september. </w:t>
            </w:r>
            <w:r w:rsidR="001B665D">
              <w:rPr>
                <w:rFonts w:ascii="Calibri" w:hAnsi="Calibri" w:cs="Calibri"/>
                <w:bCs/>
              </w:rPr>
              <w:t>Duidelijk moet worden wat het alternatief van de KB is voor OCLC.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7C0342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5.2</w:t>
            </w:r>
          </w:p>
        </w:tc>
        <w:tc>
          <w:tcPr>
            <w:tcW w:w="1276" w:type="dxa"/>
            <w:gridSpan w:val="2"/>
            <w:shd w:val="clear" w:color="auto" w:fill="FFFF00"/>
          </w:tcPr>
          <w:p w:rsidR="00EE70C4" w:rsidRPr="00B360CB" w:rsidRDefault="005F699A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SET</w:t>
            </w:r>
          </w:p>
        </w:tc>
        <w:tc>
          <w:tcPr>
            <w:tcW w:w="9584" w:type="dxa"/>
            <w:gridSpan w:val="3"/>
            <w:shd w:val="clear" w:color="auto" w:fill="FFFF00"/>
          </w:tcPr>
          <w:p w:rsidR="00EE70C4" w:rsidRPr="005F699A" w:rsidRDefault="005F699A" w:rsidP="005F699A">
            <w:pPr>
              <w:tabs>
                <w:tab w:val="left" w:pos="480"/>
              </w:tabs>
            </w:pPr>
            <w:r w:rsidRPr="005F699A">
              <w:t xml:space="preserve">Zie Aandachtpuntenlijst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A3EA0" w:rsidRPr="004D6384" w:rsidTr="007C0342">
        <w:tc>
          <w:tcPr>
            <w:tcW w:w="555" w:type="dxa"/>
            <w:shd w:val="clear" w:color="auto" w:fill="B8CCE4" w:themeFill="accent1" w:themeFillTint="66"/>
          </w:tcPr>
          <w:p w:rsidR="00EA3EA0" w:rsidRDefault="00EA3EA0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A3EA0" w:rsidRDefault="00F35C6C" w:rsidP="00EE70C4">
            <w:pPr>
              <w:jc w:val="center"/>
            </w:pPr>
            <w:r>
              <w:t>5.1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EA3EA0" w:rsidRDefault="00EA3EA0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</w:t>
            </w:r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F52E55" w:rsidRPr="00F52E55" w:rsidRDefault="00EA3EA0" w:rsidP="005F699A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  <w:r w:rsidRPr="005F699A">
              <w:rPr>
                <w:rFonts w:ascii="Calibri" w:hAnsi="Calibri" w:cs="Calibri"/>
                <w:bCs/>
              </w:rPr>
              <w:t xml:space="preserve">NA </w:t>
            </w:r>
            <w:proofErr w:type="spellStart"/>
            <w:r w:rsidRPr="005F699A">
              <w:rPr>
                <w:rFonts w:ascii="Calibri" w:hAnsi="Calibri" w:cs="Calibri"/>
                <w:bCs/>
              </w:rPr>
              <w:t>Preservica</w:t>
            </w:r>
            <w:proofErr w:type="spellEnd"/>
            <w:r w:rsidRPr="005F699A">
              <w:rPr>
                <w:rFonts w:ascii="Calibri" w:hAnsi="Calibri" w:cs="Calibri"/>
                <w:bCs/>
              </w:rPr>
              <w:t>/Actorenregister</w:t>
            </w:r>
            <w:r w:rsidR="001B665D">
              <w:rPr>
                <w:rFonts w:ascii="Calibri" w:hAnsi="Calibri" w:cs="Calibri"/>
                <w:bCs/>
              </w:rPr>
              <w:t>. Geen nieuws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Pr="003B68BD" w:rsidRDefault="00EA3EA0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7C0342">
        <w:tc>
          <w:tcPr>
            <w:tcW w:w="555" w:type="dxa"/>
            <w:shd w:val="clear" w:color="auto" w:fill="FFFF00"/>
          </w:tcPr>
          <w:p w:rsidR="00EE70C4" w:rsidRDefault="00F35C6C" w:rsidP="00EE70C4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154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EE70C4" w:rsidRPr="00BD5648" w:rsidRDefault="00F35C6C" w:rsidP="00EE70C4">
            <w:pPr>
              <w:jc w:val="center"/>
            </w:pPr>
            <w:r>
              <w:t>5.2</w:t>
            </w:r>
          </w:p>
        </w:tc>
        <w:tc>
          <w:tcPr>
            <w:tcW w:w="1276" w:type="dxa"/>
            <w:gridSpan w:val="2"/>
            <w:shd w:val="clear" w:color="auto" w:fill="B8CCE4" w:themeFill="accent1" w:themeFillTint="66"/>
          </w:tcPr>
          <w:p w:rsidR="00982729" w:rsidRDefault="00982729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Decos</w:t>
            </w:r>
            <w:proofErr w:type="spellEnd"/>
            <w:r>
              <w:rPr>
                <w:b/>
                <w:color w:val="C00000"/>
              </w:rPr>
              <w:t>\</w:t>
            </w:r>
          </w:p>
          <w:p w:rsidR="00EE70C4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Mais </w:t>
            </w:r>
            <w:proofErr w:type="spellStart"/>
            <w:r>
              <w:rPr>
                <w:b/>
                <w:color w:val="C00000"/>
              </w:rPr>
              <w:t>Flexis</w:t>
            </w:r>
            <w:proofErr w:type="spellEnd"/>
          </w:p>
        </w:tc>
        <w:tc>
          <w:tcPr>
            <w:tcW w:w="9584" w:type="dxa"/>
            <w:gridSpan w:val="3"/>
            <w:shd w:val="clear" w:color="auto" w:fill="B8CCE4" w:themeFill="accent1" w:themeFillTint="66"/>
          </w:tcPr>
          <w:p w:rsidR="007C0342" w:rsidRDefault="00F52E55" w:rsidP="00D9778C">
            <w:proofErr w:type="spellStart"/>
            <w:r>
              <w:t>Authorisatie</w:t>
            </w:r>
            <w:proofErr w:type="spellEnd"/>
            <w:r>
              <w:t xml:space="preserve">-issue </w:t>
            </w:r>
            <w:proofErr w:type="spellStart"/>
            <w:r>
              <w:t>Mylex-</w:t>
            </w:r>
            <w:r w:rsidR="00F35C6C">
              <w:t>Decos</w:t>
            </w:r>
            <w:proofErr w:type="spellEnd"/>
            <w:r>
              <w:t xml:space="preserve"> is inmiddels opgelost. De</w:t>
            </w:r>
            <w:r w:rsidR="00700BF7">
              <w:t xml:space="preserve"> Accountmanager </w:t>
            </w:r>
            <w:proofErr w:type="spellStart"/>
            <w:r w:rsidR="00700BF7">
              <w:t>Decos</w:t>
            </w:r>
            <w:proofErr w:type="spellEnd"/>
            <w:r w:rsidR="00700BF7">
              <w:t xml:space="preserve"> heeft </w:t>
            </w:r>
            <w:r>
              <w:t xml:space="preserve">een </w:t>
            </w:r>
            <w:r w:rsidR="00700BF7">
              <w:t xml:space="preserve">afspraak </w:t>
            </w:r>
            <w:r>
              <w:t xml:space="preserve">met Roomyla </w:t>
            </w:r>
            <w:r w:rsidR="00700BF7">
              <w:t>afgezegd.</w:t>
            </w:r>
            <w:r>
              <w:t xml:space="preserve"> Er is bij het NHA twijfel over de services </w:t>
            </w:r>
            <w:proofErr w:type="spellStart"/>
            <w:r>
              <w:t>Decos</w:t>
            </w:r>
            <w:proofErr w:type="spellEnd"/>
            <w:r>
              <w:t xml:space="preserve">. </w:t>
            </w:r>
            <w:r w:rsidR="001625F7">
              <w:t xml:space="preserve">De  </w:t>
            </w:r>
            <w:proofErr w:type="spellStart"/>
            <w:r w:rsidR="001625F7">
              <w:t>offiep</w:t>
            </w:r>
            <w:r w:rsidR="00700BF7">
              <w:t>luggin</w:t>
            </w:r>
            <w:proofErr w:type="spellEnd"/>
            <w:r w:rsidR="00700BF7">
              <w:t xml:space="preserve"> </w:t>
            </w:r>
            <w:r w:rsidR="001625F7">
              <w:t xml:space="preserve">van </w:t>
            </w:r>
            <w:proofErr w:type="spellStart"/>
            <w:r w:rsidR="00700BF7">
              <w:t>Decos</w:t>
            </w:r>
            <w:proofErr w:type="spellEnd"/>
            <w:r w:rsidR="001625F7">
              <w:t xml:space="preserve"> </w:t>
            </w:r>
          </w:p>
          <w:p w:rsidR="00F624B1" w:rsidRDefault="001625F7" w:rsidP="00D9778C">
            <w:r>
              <w:t xml:space="preserve">zorgt er bij verschillende NHA-gebruikers voor dat </w:t>
            </w:r>
            <w:r w:rsidR="00700BF7">
              <w:t>Outlook</w:t>
            </w:r>
            <w:r>
              <w:t xml:space="preserve"> afgesloten wordt en direct opstart.</w:t>
            </w:r>
          </w:p>
          <w:p w:rsidR="00700BF7" w:rsidRDefault="00700BF7" w:rsidP="00D9778C"/>
          <w:p w:rsidR="001B665D" w:rsidRDefault="001B665D" w:rsidP="00D9778C">
            <w:r>
              <w:t xml:space="preserve">Rapportagefunctie inmiddels beschikbaar gesteld aan Klaartje en Antoinet. Antoinet heeft inmiddels de rechten in Mais </w:t>
            </w:r>
            <w:proofErr w:type="spellStart"/>
            <w:r>
              <w:t>Flexis</w:t>
            </w:r>
            <w:proofErr w:type="spellEnd"/>
            <w:r>
              <w:t xml:space="preserve"> w</w:t>
            </w:r>
            <w:r w:rsidR="007C0342">
              <w:t>elke ze nodig heeft om selectie</w:t>
            </w:r>
            <w:r>
              <w:t>s te kunnen maken.</w:t>
            </w:r>
          </w:p>
          <w:p w:rsidR="001B665D" w:rsidRPr="00AB5BE4" w:rsidRDefault="001B665D" w:rsidP="00D9778C">
            <w:r>
              <w:t xml:space="preserve">Mais </w:t>
            </w:r>
            <w:proofErr w:type="spellStart"/>
            <w:r>
              <w:t>Flexis</w:t>
            </w:r>
            <w:proofErr w:type="spellEnd"/>
            <w:r>
              <w:t xml:space="preserve"> 9 is inmiddels te gebruiken, maar dient nog meer bekendheid te krijgen. SET en DE Ree hebben de </w:t>
            </w:r>
            <w:proofErr w:type="spellStart"/>
            <w:r>
              <w:t>https</w:t>
            </w:r>
            <w:proofErr w:type="spellEnd"/>
            <w:r>
              <w:t xml:space="preserve">, beveiligde verbinding, geregeld. Vanuit mais </w:t>
            </w:r>
            <w:proofErr w:type="spellStart"/>
            <w:r>
              <w:t>Flexis</w:t>
            </w:r>
            <w:proofErr w:type="spellEnd"/>
            <w:r>
              <w:t xml:space="preserve"> 9 kunnen objecten van onze NAS gekoppeld worden.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7C0342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7.0</w:t>
            </w:r>
          </w:p>
        </w:tc>
        <w:tc>
          <w:tcPr>
            <w:tcW w:w="1276" w:type="dxa"/>
            <w:gridSpan w:val="2"/>
            <w:shd w:val="clear" w:color="auto" w:fill="FFFF00"/>
          </w:tcPr>
          <w:p w:rsidR="00EE70C4" w:rsidRPr="00B360CB" w:rsidRDefault="007C034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InfoBeheer</w:t>
            </w:r>
            <w:proofErr w:type="spellEnd"/>
          </w:p>
        </w:tc>
        <w:tc>
          <w:tcPr>
            <w:tcW w:w="9584" w:type="dxa"/>
            <w:gridSpan w:val="3"/>
            <w:shd w:val="clear" w:color="auto" w:fill="FFFF00"/>
          </w:tcPr>
          <w:p w:rsidR="006E1E60" w:rsidRPr="005F699A" w:rsidRDefault="007C0342" w:rsidP="007A2C31">
            <w:r>
              <w:t>Een scala aan bewerkingsovereenkomsten is en wordt afgesloten. Tanja, benoemd als FG, is hier mee bezig.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7A2C31" w:rsidRPr="004D6384" w:rsidTr="007C0342">
        <w:tc>
          <w:tcPr>
            <w:tcW w:w="555" w:type="dxa"/>
            <w:shd w:val="clear" w:color="auto" w:fill="FFFFFF" w:themeFill="background1"/>
          </w:tcPr>
          <w:p w:rsidR="007A2C31" w:rsidRDefault="007A2C31" w:rsidP="00EE70C4">
            <w:pPr>
              <w:jc w:val="right"/>
              <w:rPr>
                <w:color w:val="C00000"/>
              </w:rPr>
            </w:pPr>
            <w:bookmarkStart w:id="0" w:name="_GoBack"/>
            <w:bookmarkEnd w:id="0"/>
          </w:p>
        </w:tc>
        <w:tc>
          <w:tcPr>
            <w:tcW w:w="579" w:type="dxa"/>
            <w:shd w:val="clear" w:color="auto" w:fill="FFFFFF" w:themeFill="background1"/>
          </w:tcPr>
          <w:p w:rsidR="007A2C31" w:rsidRDefault="007A2C31" w:rsidP="00EE70C4">
            <w:pPr>
              <w:jc w:val="center"/>
            </w:pPr>
            <w:r>
              <w:t>9.0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7A2C31" w:rsidRDefault="007A2C31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584" w:type="dxa"/>
            <w:gridSpan w:val="3"/>
            <w:shd w:val="clear" w:color="auto" w:fill="FFFFFF" w:themeFill="background1"/>
          </w:tcPr>
          <w:p w:rsidR="007A2C31" w:rsidRDefault="00956914" w:rsidP="005F699A">
            <w:pPr>
              <w:tabs>
                <w:tab w:val="left" w:pos="270"/>
                <w:tab w:val="right" w:pos="9509"/>
              </w:tabs>
            </w:pPr>
            <w:r>
              <w:t>Volgende vergadering</w:t>
            </w:r>
            <w:r w:rsidR="00007965">
              <w:t xml:space="preserve">       </w:t>
            </w:r>
            <w:r w:rsidR="00B915B5">
              <w:t xml:space="preserve">augustus </w:t>
            </w:r>
            <w:r w:rsidR="007A2C31">
              <w:t>2018</w:t>
            </w:r>
          </w:p>
          <w:p w:rsidR="00F624B1" w:rsidRPr="005F699A" w:rsidRDefault="00F624B1" w:rsidP="005F699A">
            <w:pPr>
              <w:tabs>
                <w:tab w:val="left" w:pos="270"/>
                <w:tab w:val="right" w:pos="9509"/>
              </w:tabs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Pr="003B68BD" w:rsidRDefault="007A2C31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264"/>
    <w:multiLevelType w:val="hybridMultilevel"/>
    <w:tmpl w:val="C5946AD4"/>
    <w:lvl w:ilvl="0" w:tplc="C512B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F3"/>
    <w:rsid w:val="00000BAA"/>
    <w:rsid w:val="00003378"/>
    <w:rsid w:val="00003F91"/>
    <w:rsid w:val="0000532F"/>
    <w:rsid w:val="00007965"/>
    <w:rsid w:val="0002035B"/>
    <w:rsid w:val="00024ABD"/>
    <w:rsid w:val="00026071"/>
    <w:rsid w:val="000328CC"/>
    <w:rsid w:val="000516C3"/>
    <w:rsid w:val="000528BC"/>
    <w:rsid w:val="00061D58"/>
    <w:rsid w:val="00063076"/>
    <w:rsid w:val="00063D12"/>
    <w:rsid w:val="000649F4"/>
    <w:rsid w:val="00070611"/>
    <w:rsid w:val="00070B7B"/>
    <w:rsid w:val="0007679F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614B"/>
    <w:rsid w:val="000D44E3"/>
    <w:rsid w:val="000E5A71"/>
    <w:rsid w:val="000E5B47"/>
    <w:rsid w:val="000E69EB"/>
    <w:rsid w:val="000E7F16"/>
    <w:rsid w:val="000F73D9"/>
    <w:rsid w:val="000F7606"/>
    <w:rsid w:val="0010424B"/>
    <w:rsid w:val="00104E79"/>
    <w:rsid w:val="0011365F"/>
    <w:rsid w:val="00114C73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25F7"/>
    <w:rsid w:val="00164FBB"/>
    <w:rsid w:val="00166E3B"/>
    <w:rsid w:val="00167A26"/>
    <w:rsid w:val="001716F5"/>
    <w:rsid w:val="00171C5A"/>
    <w:rsid w:val="001724DC"/>
    <w:rsid w:val="00174350"/>
    <w:rsid w:val="00174DC1"/>
    <w:rsid w:val="001763E8"/>
    <w:rsid w:val="001838C5"/>
    <w:rsid w:val="00184CA1"/>
    <w:rsid w:val="00186644"/>
    <w:rsid w:val="001A5E22"/>
    <w:rsid w:val="001A7925"/>
    <w:rsid w:val="001B0FD0"/>
    <w:rsid w:val="001B27E6"/>
    <w:rsid w:val="001B54CC"/>
    <w:rsid w:val="001B665D"/>
    <w:rsid w:val="001C11DF"/>
    <w:rsid w:val="001C7F86"/>
    <w:rsid w:val="001D0AD9"/>
    <w:rsid w:val="001D17F4"/>
    <w:rsid w:val="001D3648"/>
    <w:rsid w:val="001D4775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740CD"/>
    <w:rsid w:val="0027424D"/>
    <w:rsid w:val="00274F5F"/>
    <w:rsid w:val="00276F98"/>
    <w:rsid w:val="0027780E"/>
    <w:rsid w:val="00287055"/>
    <w:rsid w:val="002911B2"/>
    <w:rsid w:val="002914BD"/>
    <w:rsid w:val="002936EE"/>
    <w:rsid w:val="00294289"/>
    <w:rsid w:val="002A1528"/>
    <w:rsid w:val="002A518D"/>
    <w:rsid w:val="002B0CAB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176BC"/>
    <w:rsid w:val="00324800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506F8"/>
    <w:rsid w:val="003510CC"/>
    <w:rsid w:val="00353962"/>
    <w:rsid w:val="003650B9"/>
    <w:rsid w:val="00366DED"/>
    <w:rsid w:val="003766BD"/>
    <w:rsid w:val="003827A0"/>
    <w:rsid w:val="003869B2"/>
    <w:rsid w:val="003875E5"/>
    <w:rsid w:val="00387F10"/>
    <w:rsid w:val="003904E3"/>
    <w:rsid w:val="0039548E"/>
    <w:rsid w:val="003A1664"/>
    <w:rsid w:val="003A4937"/>
    <w:rsid w:val="003A6ED0"/>
    <w:rsid w:val="003B30E0"/>
    <w:rsid w:val="003B68BD"/>
    <w:rsid w:val="003C117B"/>
    <w:rsid w:val="003C458A"/>
    <w:rsid w:val="003C5F9D"/>
    <w:rsid w:val="003D196C"/>
    <w:rsid w:val="003D681F"/>
    <w:rsid w:val="003E1843"/>
    <w:rsid w:val="003E24CC"/>
    <w:rsid w:val="00406634"/>
    <w:rsid w:val="00411489"/>
    <w:rsid w:val="00414612"/>
    <w:rsid w:val="00422B7F"/>
    <w:rsid w:val="00422CFF"/>
    <w:rsid w:val="00423FC4"/>
    <w:rsid w:val="004241C9"/>
    <w:rsid w:val="004309FE"/>
    <w:rsid w:val="00431068"/>
    <w:rsid w:val="00433851"/>
    <w:rsid w:val="00437B9A"/>
    <w:rsid w:val="00441CF6"/>
    <w:rsid w:val="00444639"/>
    <w:rsid w:val="00446469"/>
    <w:rsid w:val="00453D72"/>
    <w:rsid w:val="0046218B"/>
    <w:rsid w:val="00462234"/>
    <w:rsid w:val="00466B9E"/>
    <w:rsid w:val="00474BF6"/>
    <w:rsid w:val="00477010"/>
    <w:rsid w:val="00483E12"/>
    <w:rsid w:val="00486776"/>
    <w:rsid w:val="0049171D"/>
    <w:rsid w:val="00497656"/>
    <w:rsid w:val="004A279C"/>
    <w:rsid w:val="004A508D"/>
    <w:rsid w:val="004B3587"/>
    <w:rsid w:val="004B4CB6"/>
    <w:rsid w:val="004C55DA"/>
    <w:rsid w:val="004C57D0"/>
    <w:rsid w:val="004C7DEC"/>
    <w:rsid w:val="004D1238"/>
    <w:rsid w:val="004D5EC2"/>
    <w:rsid w:val="004D6384"/>
    <w:rsid w:val="004E3825"/>
    <w:rsid w:val="004E4304"/>
    <w:rsid w:val="0050017B"/>
    <w:rsid w:val="005044F9"/>
    <w:rsid w:val="00510965"/>
    <w:rsid w:val="005123BF"/>
    <w:rsid w:val="00515AC5"/>
    <w:rsid w:val="00534A56"/>
    <w:rsid w:val="00535CE4"/>
    <w:rsid w:val="00536AC2"/>
    <w:rsid w:val="00545515"/>
    <w:rsid w:val="00551D10"/>
    <w:rsid w:val="005526F9"/>
    <w:rsid w:val="005534A3"/>
    <w:rsid w:val="00566292"/>
    <w:rsid w:val="005741A2"/>
    <w:rsid w:val="00574202"/>
    <w:rsid w:val="00575473"/>
    <w:rsid w:val="005758F7"/>
    <w:rsid w:val="005763B9"/>
    <w:rsid w:val="0058713D"/>
    <w:rsid w:val="00587F64"/>
    <w:rsid w:val="00590BF8"/>
    <w:rsid w:val="005945F9"/>
    <w:rsid w:val="00595CE8"/>
    <w:rsid w:val="005A049E"/>
    <w:rsid w:val="005A24C9"/>
    <w:rsid w:val="005A3F60"/>
    <w:rsid w:val="005A44DD"/>
    <w:rsid w:val="005A47AA"/>
    <w:rsid w:val="005A6490"/>
    <w:rsid w:val="005A6546"/>
    <w:rsid w:val="005B370C"/>
    <w:rsid w:val="005B6149"/>
    <w:rsid w:val="005B7BEF"/>
    <w:rsid w:val="005C250F"/>
    <w:rsid w:val="005C3A0D"/>
    <w:rsid w:val="005C47E9"/>
    <w:rsid w:val="005C7F92"/>
    <w:rsid w:val="005D1676"/>
    <w:rsid w:val="005D4950"/>
    <w:rsid w:val="005E0939"/>
    <w:rsid w:val="005E36DE"/>
    <w:rsid w:val="005E3B60"/>
    <w:rsid w:val="005E46A2"/>
    <w:rsid w:val="005E7FB2"/>
    <w:rsid w:val="005F026E"/>
    <w:rsid w:val="005F1C5F"/>
    <w:rsid w:val="005F699A"/>
    <w:rsid w:val="005F740B"/>
    <w:rsid w:val="006007BA"/>
    <w:rsid w:val="00601EB7"/>
    <w:rsid w:val="00605F03"/>
    <w:rsid w:val="0061688E"/>
    <w:rsid w:val="00616974"/>
    <w:rsid w:val="00617FFB"/>
    <w:rsid w:val="00626852"/>
    <w:rsid w:val="006341C9"/>
    <w:rsid w:val="0063470C"/>
    <w:rsid w:val="00642D8E"/>
    <w:rsid w:val="0064677C"/>
    <w:rsid w:val="0064744C"/>
    <w:rsid w:val="006474DA"/>
    <w:rsid w:val="00653B22"/>
    <w:rsid w:val="00654BCB"/>
    <w:rsid w:val="00656492"/>
    <w:rsid w:val="006569E7"/>
    <w:rsid w:val="00660A77"/>
    <w:rsid w:val="00663F07"/>
    <w:rsid w:val="00665008"/>
    <w:rsid w:val="00671A3F"/>
    <w:rsid w:val="00675DF8"/>
    <w:rsid w:val="00682A4B"/>
    <w:rsid w:val="0069554E"/>
    <w:rsid w:val="006A4856"/>
    <w:rsid w:val="006B2914"/>
    <w:rsid w:val="006B2FA5"/>
    <w:rsid w:val="006B360B"/>
    <w:rsid w:val="006B3D60"/>
    <w:rsid w:val="006C36E6"/>
    <w:rsid w:val="006C6332"/>
    <w:rsid w:val="006D2A5F"/>
    <w:rsid w:val="006D2B14"/>
    <w:rsid w:val="006D3940"/>
    <w:rsid w:val="006D757E"/>
    <w:rsid w:val="006E1E60"/>
    <w:rsid w:val="006E1F23"/>
    <w:rsid w:val="006E2E0A"/>
    <w:rsid w:val="006E4565"/>
    <w:rsid w:val="006E577D"/>
    <w:rsid w:val="006E688F"/>
    <w:rsid w:val="006F584E"/>
    <w:rsid w:val="006F7435"/>
    <w:rsid w:val="00700BF7"/>
    <w:rsid w:val="0070337C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243D"/>
    <w:rsid w:val="00765841"/>
    <w:rsid w:val="00780C07"/>
    <w:rsid w:val="007818F2"/>
    <w:rsid w:val="0078272F"/>
    <w:rsid w:val="00782842"/>
    <w:rsid w:val="00783647"/>
    <w:rsid w:val="00786B83"/>
    <w:rsid w:val="00786D4E"/>
    <w:rsid w:val="00791298"/>
    <w:rsid w:val="007A10CA"/>
    <w:rsid w:val="007A1B58"/>
    <w:rsid w:val="007A2C31"/>
    <w:rsid w:val="007A6172"/>
    <w:rsid w:val="007A7B26"/>
    <w:rsid w:val="007B621A"/>
    <w:rsid w:val="007B7B79"/>
    <w:rsid w:val="007C0074"/>
    <w:rsid w:val="007C0342"/>
    <w:rsid w:val="007C377D"/>
    <w:rsid w:val="007D142E"/>
    <w:rsid w:val="007D19FC"/>
    <w:rsid w:val="007D1AFA"/>
    <w:rsid w:val="007D4F3F"/>
    <w:rsid w:val="007D6914"/>
    <w:rsid w:val="007E036A"/>
    <w:rsid w:val="007E1130"/>
    <w:rsid w:val="00800373"/>
    <w:rsid w:val="0080116F"/>
    <w:rsid w:val="008020D1"/>
    <w:rsid w:val="00807203"/>
    <w:rsid w:val="00807454"/>
    <w:rsid w:val="00814CED"/>
    <w:rsid w:val="0081799B"/>
    <w:rsid w:val="008350E8"/>
    <w:rsid w:val="008366F6"/>
    <w:rsid w:val="00836A69"/>
    <w:rsid w:val="008427A3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3211"/>
    <w:rsid w:val="00875915"/>
    <w:rsid w:val="00880BB7"/>
    <w:rsid w:val="00881B78"/>
    <w:rsid w:val="00891903"/>
    <w:rsid w:val="00896A1E"/>
    <w:rsid w:val="008A4511"/>
    <w:rsid w:val="008A6CF0"/>
    <w:rsid w:val="008A7451"/>
    <w:rsid w:val="008B0721"/>
    <w:rsid w:val="008B1314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90674F"/>
    <w:rsid w:val="00911F76"/>
    <w:rsid w:val="00913B92"/>
    <w:rsid w:val="00917DF0"/>
    <w:rsid w:val="00920316"/>
    <w:rsid w:val="00920886"/>
    <w:rsid w:val="00921560"/>
    <w:rsid w:val="0092656D"/>
    <w:rsid w:val="00937B11"/>
    <w:rsid w:val="00937F39"/>
    <w:rsid w:val="00946060"/>
    <w:rsid w:val="0095064F"/>
    <w:rsid w:val="00954E15"/>
    <w:rsid w:val="009552D9"/>
    <w:rsid w:val="00955DA3"/>
    <w:rsid w:val="00956914"/>
    <w:rsid w:val="009571D0"/>
    <w:rsid w:val="00962404"/>
    <w:rsid w:val="00962526"/>
    <w:rsid w:val="00965F4F"/>
    <w:rsid w:val="00970CFF"/>
    <w:rsid w:val="009732B4"/>
    <w:rsid w:val="009763DE"/>
    <w:rsid w:val="00980C47"/>
    <w:rsid w:val="00982729"/>
    <w:rsid w:val="00982B13"/>
    <w:rsid w:val="009857A9"/>
    <w:rsid w:val="00990416"/>
    <w:rsid w:val="00991586"/>
    <w:rsid w:val="00991632"/>
    <w:rsid w:val="00993598"/>
    <w:rsid w:val="00994B59"/>
    <w:rsid w:val="00997243"/>
    <w:rsid w:val="00997DDF"/>
    <w:rsid w:val="009A08CC"/>
    <w:rsid w:val="009A6672"/>
    <w:rsid w:val="009A7E1E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9F5CF2"/>
    <w:rsid w:val="00A0110B"/>
    <w:rsid w:val="00A0122C"/>
    <w:rsid w:val="00A02F61"/>
    <w:rsid w:val="00A07C07"/>
    <w:rsid w:val="00A1039A"/>
    <w:rsid w:val="00A12470"/>
    <w:rsid w:val="00A12A53"/>
    <w:rsid w:val="00A17A80"/>
    <w:rsid w:val="00A21E54"/>
    <w:rsid w:val="00A22EDA"/>
    <w:rsid w:val="00A30EAF"/>
    <w:rsid w:val="00A30FFA"/>
    <w:rsid w:val="00A315F8"/>
    <w:rsid w:val="00A31DD9"/>
    <w:rsid w:val="00A32D9F"/>
    <w:rsid w:val="00A3334B"/>
    <w:rsid w:val="00A43943"/>
    <w:rsid w:val="00A476E6"/>
    <w:rsid w:val="00A525A6"/>
    <w:rsid w:val="00A5579C"/>
    <w:rsid w:val="00A60CB7"/>
    <w:rsid w:val="00A610A8"/>
    <w:rsid w:val="00A622AB"/>
    <w:rsid w:val="00A62ADC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0F7D"/>
    <w:rsid w:val="00AB182F"/>
    <w:rsid w:val="00AB4879"/>
    <w:rsid w:val="00AB5BE4"/>
    <w:rsid w:val="00AC7A5B"/>
    <w:rsid w:val="00AD1F20"/>
    <w:rsid w:val="00AD204A"/>
    <w:rsid w:val="00AD25E8"/>
    <w:rsid w:val="00AF00C6"/>
    <w:rsid w:val="00B03C41"/>
    <w:rsid w:val="00B03D3E"/>
    <w:rsid w:val="00B34393"/>
    <w:rsid w:val="00B35E1A"/>
    <w:rsid w:val="00B360CB"/>
    <w:rsid w:val="00B42F73"/>
    <w:rsid w:val="00B441D3"/>
    <w:rsid w:val="00B466D0"/>
    <w:rsid w:val="00B5053D"/>
    <w:rsid w:val="00B53E62"/>
    <w:rsid w:val="00B54868"/>
    <w:rsid w:val="00B552E9"/>
    <w:rsid w:val="00B57439"/>
    <w:rsid w:val="00B63A8D"/>
    <w:rsid w:val="00B772B9"/>
    <w:rsid w:val="00B808D5"/>
    <w:rsid w:val="00B822E4"/>
    <w:rsid w:val="00B87FE4"/>
    <w:rsid w:val="00B915B5"/>
    <w:rsid w:val="00B91EF6"/>
    <w:rsid w:val="00B942F7"/>
    <w:rsid w:val="00B94535"/>
    <w:rsid w:val="00B97FAC"/>
    <w:rsid w:val="00BA1EF5"/>
    <w:rsid w:val="00BA3EDD"/>
    <w:rsid w:val="00BA4EAA"/>
    <w:rsid w:val="00BA707D"/>
    <w:rsid w:val="00BB00DA"/>
    <w:rsid w:val="00BB0189"/>
    <w:rsid w:val="00BB2A45"/>
    <w:rsid w:val="00BB709F"/>
    <w:rsid w:val="00BB71FC"/>
    <w:rsid w:val="00BC38C1"/>
    <w:rsid w:val="00BC4535"/>
    <w:rsid w:val="00BC4792"/>
    <w:rsid w:val="00BC654B"/>
    <w:rsid w:val="00BC6AA5"/>
    <w:rsid w:val="00BD5648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7463"/>
    <w:rsid w:val="00C20AD9"/>
    <w:rsid w:val="00C24BE7"/>
    <w:rsid w:val="00C27538"/>
    <w:rsid w:val="00C27615"/>
    <w:rsid w:val="00C32318"/>
    <w:rsid w:val="00C34B2F"/>
    <w:rsid w:val="00C45CED"/>
    <w:rsid w:val="00C47D31"/>
    <w:rsid w:val="00C50F94"/>
    <w:rsid w:val="00C55C9A"/>
    <w:rsid w:val="00C61DC0"/>
    <w:rsid w:val="00C628D3"/>
    <w:rsid w:val="00C7197F"/>
    <w:rsid w:val="00C77437"/>
    <w:rsid w:val="00C83C1B"/>
    <w:rsid w:val="00C870B6"/>
    <w:rsid w:val="00C904C2"/>
    <w:rsid w:val="00C94FCB"/>
    <w:rsid w:val="00C959C4"/>
    <w:rsid w:val="00C97B6B"/>
    <w:rsid w:val="00C97FC9"/>
    <w:rsid w:val="00CA2A4C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5BF"/>
    <w:rsid w:val="00CE5B59"/>
    <w:rsid w:val="00CF256F"/>
    <w:rsid w:val="00CF3297"/>
    <w:rsid w:val="00CF7272"/>
    <w:rsid w:val="00CF76D3"/>
    <w:rsid w:val="00D04592"/>
    <w:rsid w:val="00D072A6"/>
    <w:rsid w:val="00D07CAD"/>
    <w:rsid w:val="00D122B9"/>
    <w:rsid w:val="00D37839"/>
    <w:rsid w:val="00D400A5"/>
    <w:rsid w:val="00D41A78"/>
    <w:rsid w:val="00D52BDF"/>
    <w:rsid w:val="00D53A07"/>
    <w:rsid w:val="00D55C1D"/>
    <w:rsid w:val="00D56F5A"/>
    <w:rsid w:val="00D64CEA"/>
    <w:rsid w:val="00D73400"/>
    <w:rsid w:val="00D73BE6"/>
    <w:rsid w:val="00D77458"/>
    <w:rsid w:val="00D91C7D"/>
    <w:rsid w:val="00D935EF"/>
    <w:rsid w:val="00D94DEF"/>
    <w:rsid w:val="00D96576"/>
    <w:rsid w:val="00D9778C"/>
    <w:rsid w:val="00DA0DB4"/>
    <w:rsid w:val="00DA14DB"/>
    <w:rsid w:val="00DA22D5"/>
    <w:rsid w:val="00DA2732"/>
    <w:rsid w:val="00DB0D29"/>
    <w:rsid w:val="00DB3EFA"/>
    <w:rsid w:val="00DB4999"/>
    <w:rsid w:val="00DC6A35"/>
    <w:rsid w:val="00DD06C7"/>
    <w:rsid w:val="00DD09E2"/>
    <w:rsid w:val="00DD19AC"/>
    <w:rsid w:val="00DD285E"/>
    <w:rsid w:val="00DD3B41"/>
    <w:rsid w:val="00DE6F89"/>
    <w:rsid w:val="00DF05B0"/>
    <w:rsid w:val="00DF1560"/>
    <w:rsid w:val="00DF65A1"/>
    <w:rsid w:val="00E00227"/>
    <w:rsid w:val="00E03F35"/>
    <w:rsid w:val="00E05069"/>
    <w:rsid w:val="00E060A1"/>
    <w:rsid w:val="00E07612"/>
    <w:rsid w:val="00E1482B"/>
    <w:rsid w:val="00E17BF1"/>
    <w:rsid w:val="00E20494"/>
    <w:rsid w:val="00E30207"/>
    <w:rsid w:val="00E3570D"/>
    <w:rsid w:val="00E36CC1"/>
    <w:rsid w:val="00E36D02"/>
    <w:rsid w:val="00E3782D"/>
    <w:rsid w:val="00E4210B"/>
    <w:rsid w:val="00E45AC0"/>
    <w:rsid w:val="00E502ED"/>
    <w:rsid w:val="00E525E2"/>
    <w:rsid w:val="00E53C9E"/>
    <w:rsid w:val="00E63348"/>
    <w:rsid w:val="00E63BD8"/>
    <w:rsid w:val="00E659A4"/>
    <w:rsid w:val="00E72634"/>
    <w:rsid w:val="00E74B52"/>
    <w:rsid w:val="00E8064C"/>
    <w:rsid w:val="00E90237"/>
    <w:rsid w:val="00E96585"/>
    <w:rsid w:val="00EA03C5"/>
    <w:rsid w:val="00EA3EA0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E70C4"/>
    <w:rsid w:val="00EF443B"/>
    <w:rsid w:val="00EF49C9"/>
    <w:rsid w:val="00EF6C55"/>
    <w:rsid w:val="00EF6DDB"/>
    <w:rsid w:val="00F03EFE"/>
    <w:rsid w:val="00F111B9"/>
    <w:rsid w:val="00F12409"/>
    <w:rsid w:val="00F1260C"/>
    <w:rsid w:val="00F22199"/>
    <w:rsid w:val="00F235D7"/>
    <w:rsid w:val="00F2476C"/>
    <w:rsid w:val="00F25DA1"/>
    <w:rsid w:val="00F30D91"/>
    <w:rsid w:val="00F359C1"/>
    <w:rsid w:val="00F35C6C"/>
    <w:rsid w:val="00F41E73"/>
    <w:rsid w:val="00F508B9"/>
    <w:rsid w:val="00F52E55"/>
    <w:rsid w:val="00F56583"/>
    <w:rsid w:val="00F5670D"/>
    <w:rsid w:val="00F569ED"/>
    <w:rsid w:val="00F624B1"/>
    <w:rsid w:val="00F64498"/>
    <w:rsid w:val="00F6509C"/>
    <w:rsid w:val="00F6523B"/>
    <w:rsid w:val="00F65D28"/>
    <w:rsid w:val="00F810E6"/>
    <w:rsid w:val="00F8142D"/>
    <w:rsid w:val="00F81ADD"/>
    <w:rsid w:val="00F82EE0"/>
    <w:rsid w:val="00F83E14"/>
    <w:rsid w:val="00F93217"/>
    <w:rsid w:val="00F966F0"/>
    <w:rsid w:val="00F9682D"/>
    <w:rsid w:val="00F9794E"/>
    <w:rsid w:val="00FA0181"/>
    <w:rsid w:val="00FB0438"/>
    <w:rsid w:val="00FB1722"/>
    <w:rsid w:val="00FB4B52"/>
    <w:rsid w:val="00FB5386"/>
    <w:rsid w:val="00FB6E30"/>
    <w:rsid w:val="00FD5C88"/>
    <w:rsid w:val="00FE69CA"/>
    <w:rsid w:val="00FF4307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42D2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811FB5E2</Template>
  <TotalTime>18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Sewalt</dc:creator>
  <cp:lastModifiedBy>Ed Sewalt</cp:lastModifiedBy>
  <cp:revision>5</cp:revision>
  <cp:lastPrinted>2015-04-08T07:07:00Z</cp:lastPrinted>
  <dcterms:created xsi:type="dcterms:W3CDTF">2018-07-23T13:32:00Z</dcterms:created>
  <dcterms:modified xsi:type="dcterms:W3CDTF">2018-07-23T13:48:00Z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