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Server Tagging</w:t>
      </w:r>
    </w:p>
    <w:bookmarkStart w:id="9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Ista operates servers in two environments: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— organized in landing zones, each with an operationally responsible team (</w:t>
      </w:r>
      <w:r>
        <w:t xml:space="preserve">“owner”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On-premises</w:t>
      </w:r>
      <w:r>
        <w:t xml:space="preserve"> </w:t>
      </w:r>
      <w:r>
        <w:t xml:space="preserve">— hosted at OEDIV and 3S</w:t>
      </w:r>
    </w:p>
    <w:p>
      <w:pPr>
        <w:pStyle w:val="BodyText"/>
      </w:pPr>
      <w:r>
        <w:rPr>
          <w:b/>
          <w:bCs/>
        </w:rPr>
        <w:t xml:space="preserve">Two types of Azure landing zones: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Managed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Self-managed</w:t>
            </w:r>
          </w:p>
        </w:tc>
        <w:tc>
          <w:tcPr/>
          <w:p>
            <w:pPr>
              <w:pStyle w:val="Compact"/>
            </w:pPr>
            <w:r>
              <w:t xml:space="preserve">Operated DevOps-style by the owning squad</w:t>
            </w:r>
          </w:p>
        </w:tc>
        <w:tc>
          <w:tcPr/>
          <w:p>
            <w:pPr>
              <w:pStyle w:val="Compact"/>
            </w:pPr>
            <w:r>
              <w:t xml:space="preserve">The squad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Centrally-managed</w:t>
            </w:r>
          </w:p>
        </w:tc>
        <w:tc>
          <w:tcPr/>
          <w:p>
            <w:pPr>
              <w:pStyle w:val="Compact"/>
            </w:pPr>
            <w:r>
              <w:t xml:space="preserve">Operated by a central admin team</w:t>
            </w:r>
          </w:p>
        </w:tc>
        <w:tc>
          <w:tcPr/>
          <w:p>
            <w:pPr>
              <w:pStyle w:val="Compact"/>
            </w:pPr>
            <w:r>
              <w:t xml:space="preserve">LOT Server Infrastructure (SI), Network Infrastructure (NI), or Database Infrastructure (DI)</w:t>
            </w:r>
          </w:p>
        </w:tc>
      </w:tr>
    </w:tbl>
    <w:p>
      <w:pPr>
        <w:pStyle w:val="BodyText"/>
      </w:pPr>
      <w:r>
        <w:t xml:space="preserve">Most centrally managed landing zones belong to country operations; some are application-specific. Country landing zones often host multiple applications.</w:t>
      </w:r>
    </w:p>
    <w:p>
      <w:pPr>
        <w:pStyle w:val="BodyText"/>
      </w:pPr>
      <w:r>
        <w:rPr>
          <w:b/>
          <w:bCs/>
        </w:rPr>
        <w:t xml:space="preserve">LeanIX</w:t>
      </w:r>
      <w:r>
        <w:t xml:space="preserve"> </w:t>
      </w:r>
      <w:r>
        <w:t xml:space="preserve">is used as the Enterprise Architecture Repository. It tracks business applications and IT components — but not servers.</w:t>
      </w:r>
    </w:p>
    <w:p>
      <w:r>
        <w:pict>
          <v:rect style="width:0;height:1.5pt" o:hralign="center" o:hrstd="t" o:hr="t"/>
        </w:pict>
      </w:r>
    </w:p>
    <w:bookmarkEnd w:id="9"/>
    <w:bookmarkStart w:id="10" w:name="problem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Multiple teams need to know, for each server:</w:t>
      </w:r>
      <w:r>
        <w:t xml:space="preserve"> </w:t>
      </w:r>
      <w:r>
        <w:t xml:space="preserve">- Which team is operationally responsible for it? (e.g. for immediate security fixes)</w:t>
      </w:r>
      <w:r>
        <w:t xml:space="preserve"> </w:t>
      </w:r>
      <w:r>
        <w:t xml:space="preserve">- Which team is accountable for the servers regarding compliance and costs?</w:t>
      </w:r>
      <w:r>
        <w:t xml:space="preserve"> </w:t>
      </w:r>
      <w:r>
        <w:t xml:space="preserve">- Which application is running on it?</w:t>
      </w:r>
      <w:r>
        <w:t xml:space="preserve"> </w:t>
      </w:r>
      <w:r>
        <w:t xml:space="preserve">- Is it a production server?</w:t>
      </w:r>
    </w:p>
    <w:p>
      <w:r>
        <w:pict>
          <v:rect style="width:0;height:1.5pt" o:hralign="center" o:hrstd="t" o:hr="t"/>
        </w:pict>
      </w:r>
    </w:p>
    <w:bookmarkEnd w:id="10"/>
    <w:bookmarkStart w:id="11" w:name="systems-requiring-server-tags"/>
    <w:p>
      <w:pPr>
        <w:pStyle w:val="Heading1"/>
      </w:pPr>
      <w:r>
        <w:t xml:space="preserve">Systems requiring server tags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EDR</w:t>
      </w:r>
      <w:r>
        <w:t xml:space="preserve"> </w:t>
      </w:r>
      <w:r>
        <w:t xml:space="preserve">- SoC needs to react on security event. Needs metadata for assessing situation and contacting stakeholders.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Tenable</w:t>
      </w:r>
      <w:r>
        <w:t xml:space="preserve"> </w:t>
      </w:r>
      <w:r>
        <w:t xml:space="preserve">- Basis for 10GR reporting of vulnerabilities. Application owners need to see their affected servers.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- TODO explain use case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PowerBI FinOps report</w:t>
      </w:r>
      <w:r>
        <w:t xml:space="preserve"> </w:t>
      </w:r>
      <w:r>
        <w:t xml:space="preserve">- Needs to know who leads the team accountable for a server to inform them about cloud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10GR report</w:t>
      </w:r>
      <w:r>
        <w:t xml:space="preserve"> </w:t>
      </w:r>
      <w:r>
        <w:t xml:space="preserve">- PowerBI report for all 10 golden rules KPIs.</w:t>
      </w:r>
    </w:p>
    <w:bookmarkEnd w:id="11"/>
    <w:bookmarkStart w:id="12" w:name="required-server-tags"/>
    <w:p>
      <w:pPr>
        <w:pStyle w:val="Heading1"/>
      </w:pPr>
      <w:r>
        <w:t xml:space="preserve">Required Server Tags</w:t>
      </w:r>
    </w:p>
    <w:p>
      <w:pPr>
        <w:pStyle w:val="FirstParagraph"/>
      </w:pPr>
      <w:r>
        <w:t xml:space="preserve">Server tags are going to be maintained and/or consolidated in the CMDB (IFS Assyst). From there this information can be synced to other tools which need server tags.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Registered LeanIX applications</w:t>
            </w:r>
          </w:p>
        </w:tc>
        <w:tc>
          <w:tcPr/>
          <w:p>
            <w:pPr>
              <w:pStyle w:val="Compact"/>
            </w:pPr>
            <w:r>
              <w:t xml:space="preserve">EDR, Tenable, Grafana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Operationally Responsible Team</w:t>
            </w:r>
            <w:r>
              <w:t xml:space="preserve"> </w:t>
            </w:r>
            <w:r>
              <w:t xml:space="preserve">(maintaining team)</w:t>
            </w:r>
          </w:p>
        </w:tc>
        <w:tc>
          <w:tcPr/>
          <w:p>
            <w:pPr>
              <w:pStyle w:val="Compact"/>
            </w:pPr>
            <w:r>
              <w:t xml:space="preserve">Registered LeanIX team. LeanIX has team placeholders for local IT of countries</w:t>
            </w:r>
          </w:p>
        </w:tc>
        <w:tc>
          <w:tcPr/>
          <w:p>
            <w:pPr>
              <w:pStyle w:val="Compact"/>
            </w:pPr>
            <w:r>
              <w:t xml:space="preserve">EDR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Accountable Team</w:t>
            </w:r>
          </w:p>
        </w:tc>
        <w:tc>
          <w:tcPr/>
          <w:p>
            <w:pPr>
              <w:pStyle w:val="Compact"/>
            </w:pPr>
            <w:r>
              <w:t xml:space="preserve">Registered LeanIX team. LeanIX has team placeholders for local IT of countries</w:t>
            </w:r>
          </w:p>
        </w:tc>
        <w:tc>
          <w:tcPr/>
          <w:p>
            <w:pPr>
              <w:pStyle w:val="Compact"/>
            </w:pPr>
            <w:r>
              <w:t xml:space="preserve">Tenable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Component</w:t>
            </w:r>
          </w:p>
        </w:tc>
        <w:tc>
          <w:tcPr/>
          <w:p>
            <w:pPr>
              <w:pStyle w:val="Compact"/>
            </w:pPr>
            <w:r>
              <w:t xml:space="preserve">Registered LeanIX IT Components</w:t>
            </w:r>
          </w:p>
        </w:tc>
        <w:tc>
          <w:tcPr/>
          <w:p>
            <w:pPr>
              <w:pStyle w:val="Compact"/>
            </w:pPr>
            <w:r>
              <w:t xml:space="preserve">EDR, Tenable, Grafana</w:t>
            </w:r>
            <w:r>
              <w:t xml:space="preserve"> </w:t>
            </w:r>
            <w:r>
              <w:rPr>
                <w:i/>
                <w:iCs/>
              </w:rPr>
              <w:t xml:space="preserve">(data quality improvement planned for 2027)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Type</w:t>
            </w:r>
          </w:p>
        </w:tc>
        <w:tc>
          <w:tcPr/>
          <w:p>
            <w:pPr>
              <w:pStyle w:val="Compact"/>
            </w:pPr>
            <w:r>
              <w:t xml:space="preserve">prod, nonprod</w:t>
            </w:r>
          </w:p>
        </w:tc>
        <w:tc>
          <w:tcPr/>
          <w:p>
            <w:pPr>
              <w:pStyle w:val="Compact"/>
            </w:pPr>
            <w:r>
              <w:t xml:space="preserve">EDR, Tenable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10GR group</w:t>
            </w:r>
          </w:p>
        </w:tc>
        <w:tc>
          <w:tcPr/>
          <w:p>
            <w:pPr>
              <w:pStyle w:val="Compact"/>
            </w:pPr>
            <w:r>
              <w:t xml:space="preserve">LeanIX Tribe or local IT Team</w:t>
            </w:r>
          </w:p>
        </w:tc>
        <w:tc>
          <w:tcPr/>
          <w:p>
            <w:pPr>
              <w:pStyle w:val="Compact"/>
            </w:pPr>
            <w:r>
              <w:t xml:space="preserve">10GR report, Tenable (+ all other systems delivering 10GR data)</w:t>
            </w:r>
          </w:p>
        </w:tc>
      </w:tr>
    </w:tbl>
    <w:p>
      <w:pPr>
        <w:pStyle w:val="BlockText"/>
      </w:pPr>
      <w:r>
        <w:t xml:space="preserve">Names in LeanIX can change. It is important that the CMDB stores the LeanIX factsheet IDs internally as canonical identifiers to be able to update the tag values.</w:t>
      </w:r>
    </w:p>
    <w:p>
      <w:r>
        <w:pict>
          <v:rect style="width:0;height:1.5pt" o:hralign="center" o:hrstd="t" o:hr="t"/>
        </w:pict>
      </w:r>
    </w:p>
    <w:bookmarkEnd w:id="12"/>
    <w:bookmarkStart w:id="13" w:name="azure-servers"/>
    <w:p>
      <w:pPr>
        <w:pStyle w:val="Heading1"/>
      </w:pPr>
      <w:r>
        <w:t xml:space="preserve">Azure Servers</w:t>
      </w:r>
    </w:p>
    <w:p>
      <w:pPr>
        <w:pStyle w:val="FirstParagraph"/>
      </w:pPr>
      <w:r>
        <w:t xml:space="preserve">The process for the initial filling and the continuous update for Azure servers is the same. LeanIX data should just be imported / refreshed in regular intervals.</w:t>
      </w:r>
    </w:p>
    <w:p>
      <w:pPr>
        <w:pStyle w:val="BodyText"/>
      </w:pPr>
      <w:r>
        <w:rPr>
          <w:b/>
          <w:bCs/>
        </w:rPr>
        <w:t xml:space="preserve">Application Tag</w:t>
      </w:r>
      <w:r>
        <w:t xml:space="preserve"> </w:t>
      </w:r>
      <w:r>
        <w:t xml:space="preserve">For each server:</w:t>
      </w:r>
      <w:r>
        <w:t xml:space="preserve"> </w:t>
      </w:r>
      <w:r>
        <w:t xml:space="preserve">- Look up the landing zone factsheet in LeanIX with the Azure subscription ID associated to the server</w:t>
      </w:r>
      <w:r>
        <w:t xml:space="preserve"> </w:t>
      </w:r>
      <w:r>
        <w:t xml:space="preserve">- Read the relation</w:t>
      </w:r>
      <w:r>
        <w:t xml:space="preserve"> </w:t>
      </w:r>
      <w:r>
        <w:t xml:space="preserve">“Hosted Applications”</w:t>
      </w:r>
      <w:r>
        <w:t xml:space="preserve"> </w:t>
      </w:r>
      <w:r>
        <w:t xml:space="preserve">in LeanIX</w:t>
      </w:r>
      <w:r>
        <w:t xml:space="preserve"> </w:t>
      </w:r>
      <w:r>
        <w:t xml:space="preserve">- If only one application: use application name</w:t>
      </w:r>
      <w:r>
        <w:t xml:space="preserve"> </w:t>
      </w:r>
      <w:r>
        <w:t xml:space="preserve">- If multiple applications or empty: use</w:t>
      </w:r>
      <w:r>
        <w:t xml:space="preserve"> </w:t>
      </w:r>
      <w:r>
        <w:t xml:space="preserve">“accountable team”</w:t>
      </w:r>
      <w:r>
        <w:t xml:space="preserve"> </w:t>
      </w:r>
      <w:r>
        <w:t xml:space="preserve">&gt; name</w:t>
      </w:r>
    </w:p>
    <w:p>
      <w:pPr>
        <w:pStyle w:val="BlockText"/>
      </w:pPr>
      <w:r>
        <w:t xml:space="preserve">In the case of country subscriptions, the accountable team will be</w:t>
      </w:r>
      <w:r>
        <w:t xml:space="preserve"> </w:t>
      </w:r>
      <w:r>
        <w:t xml:space="preserve">“local IT</w:t>
      </w:r>
      <w:r>
        <w:t xml:space="preserve"> </w:t>
      </w:r>
      <w:r>
        <w:rPr>
          <w:i/>
          <w:iCs/>
        </w:rPr>
        <w:t xml:space="preserve">(COUNTRY)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Operationally Responsible Team Tag</w:t>
      </w:r>
      <w:r>
        <w:t xml:space="preserve"> </w:t>
      </w:r>
      <w:r>
        <w:t xml:space="preserve">- Look up the landing zone and take the team from the relation</w:t>
      </w:r>
      <w:r>
        <w:t xml:space="preserve"> </w:t>
      </w:r>
      <w:r>
        <w:t xml:space="preserve">“operationally responsible Org Structure”</w:t>
      </w:r>
    </w:p>
    <w:p>
      <w:pPr>
        <w:pStyle w:val="BodyText"/>
      </w:pPr>
      <w:r>
        <w:rPr>
          <w:b/>
          <w:bCs/>
        </w:rPr>
        <w:t xml:space="preserve">Accountable Team Tag</w:t>
      </w:r>
      <w:r>
        <w:t xml:space="preserve"> </w:t>
      </w:r>
      <w:r>
        <w:t xml:space="preserve">- Look up the landing zone and take the team from the relation</w:t>
      </w:r>
      <w:r>
        <w:t xml:space="preserve"> </w:t>
      </w:r>
      <w:r>
        <w:t xml:space="preserve">“accountable Org Structure”</w:t>
      </w:r>
    </w:p>
    <w:p>
      <w:pPr>
        <w:pStyle w:val="BodyText"/>
      </w:pPr>
      <w:r>
        <w:rPr>
          <w:b/>
          <w:bCs/>
        </w:rPr>
        <w:t xml:space="preserve">Server Type Tag (prod / nonprod)</w:t>
      </w:r>
      <w:r>
        <w:t xml:space="preserve"> </w:t>
      </w:r>
      <w:r>
        <w:t xml:space="preserve">- Check the LeanIX factsheet if the subscription id is in the</w:t>
      </w:r>
      <w:r>
        <w:t xml:space="preserve"> </w:t>
      </w:r>
      <w:r>
        <w:t xml:space="preserve">“PROD subscription ID”</w:t>
      </w:r>
      <w:r>
        <w:t xml:space="preserve"> </w:t>
      </w:r>
      <w:r>
        <w:t xml:space="preserve">field or on the</w:t>
      </w:r>
      <w:r>
        <w:t xml:space="preserve"> </w:t>
      </w:r>
      <w:r>
        <w:t xml:space="preserve">“NONPROD subscription ID”</w:t>
      </w:r>
      <w:r>
        <w:t xml:space="preserve"> </w:t>
      </w:r>
      <w:r>
        <w:t xml:space="preserve">field and set accordingly.</w:t>
      </w:r>
    </w:p>
    <w:p>
      <w:pPr>
        <w:pStyle w:val="BodyText"/>
      </w:pPr>
      <w:r>
        <w:rPr>
          <w:b/>
          <w:bCs/>
        </w:rPr>
        <w:t xml:space="preserve">10GR group</w:t>
      </w:r>
      <w:r>
        <w:t xml:space="preserve"> </w:t>
      </w:r>
      <w:r>
        <w:t xml:space="preserve">- Lookup the landing zone and take the</w:t>
      </w:r>
      <w:r>
        <w:t xml:space="preserve"> </w:t>
      </w:r>
      <w:r>
        <w:t xml:space="preserve">“accountable Org Structure”</w:t>
      </w:r>
      <w:r>
        <w:t xml:space="preserve">: If it’s a</w:t>
      </w:r>
      <w:r>
        <w:t xml:space="preserve"> </w:t>
      </w:r>
      <w:r>
        <w:t xml:space="preserve">“local IT”</w:t>
      </w:r>
      <w:r>
        <w:t xml:space="preserve"> </w:t>
      </w:r>
      <w:r>
        <w:t xml:space="preserve">team, use the name. If it’s another team, navigate to the parent (tribe) and take the tribe name.</w:t>
      </w:r>
    </w:p>
    <w:bookmarkEnd w:id="13"/>
    <w:bookmarkStart w:id="16" w:name="on-premises-servers-oediv-3s"/>
    <w:p>
      <w:pPr>
        <w:pStyle w:val="Heading1"/>
      </w:pPr>
      <w:r>
        <w:t xml:space="preserve">On-premises Servers (OEDIV, 3S)</w:t>
      </w:r>
    </w:p>
    <w:bookmarkStart w:id="14" w:name="initial-data-fill"/>
    <w:p>
      <w:pPr>
        <w:pStyle w:val="Heading2"/>
      </w:pPr>
      <w:r>
        <w:t xml:space="preserve">Initial Data Fill</w:t>
      </w:r>
    </w:p>
    <w:p>
      <w:pPr>
        <w:pStyle w:val="FirstParagraph"/>
      </w:pPr>
      <w:r>
        <w:rPr>
          <w:b/>
          <w:bCs/>
        </w:rPr>
        <w:t xml:space="preserve">Application Tag</w:t>
      </w:r>
    </w:p>
    <w:p>
      <w:pPr>
        <w:pStyle w:val="Compact"/>
        <w:numPr>
          <w:ilvl w:val="0"/>
          <w:numId w:val="1002"/>
        </w:numPr>
      </w:pPr>
      <w:r>
        <w:t xml:space="preserve">Tunde’s (IT Security) existing on-prem tag evaluation is used as the starting point.</w:t>
      </w:r>
    </w:p>
    <w:p>
      <w:pPr>
        <w:pStyle w:val="Compact"/>
        <w:numPr>
          <w:ilvl w:val="0"/>
          <w:numId w:val="1002"/>
        </w:numPr>
      </w:pPr>
      <w:r>
        <w:t xml:space="preserve">LOT SI, DI, and NI verify correctness and plausibility.</w:t>
      </w:r>
    </w:p>
    <w:p>
      <w:pPr>
        <w:pStyle w:val="FirstParagraph"/>
      </w:pPr>
      <w:r>
        <w:rPr>
          <w:b/>
          <w:bCs/>
        </w:rPr>
        <w:t xml:space="preserve">Operationally Responsible Team Tag</w:t>
      </w:r>
      <w:r>
        <w:t xml:space="preserve"> </w:t>
      </w:r>
      <w:r>
        <w:t xml:space="preserve">- Value is either SI, NI, or DI. LOTs align on responsibilities between themselves.</w:t>
      </w:r>
    </w:p>
    <w:p>
      <w:pPr>
        <w:pStyle w:val="BodyText"/>
      </w:pPr>
      <w:r>
        <w:rPr>
          <w:b/>
          <w:bCs/>
        </w:rPr>
        <w:t xml:space="preserve">Accountable Team Tag</w:t>
      </w:r>
      <w:r>
        <w:t xml:space="preserve"> </w:t>
      </w:r>
      <w:r>
        <w:t xml:space="preserve">- LOT SI pre-fills based on best knowledge; LOT SI, NI, and DI align on responsibilities between themselves.</w:t>
      </w:r>
    </w:p>
    <w:p>
      <w:pPr>
        <w:pStyle w:val="BodyText"/>
      </w:pPr>
      <w:r>
        <w:rPr>
          <w:b/>
          <w:bCs/>
        </w:rPr>
        <w:t xml:space="preserve">Server Type Tag (prod / nonprod)</w:t>
      </w:r>
      <w:r>
        <w:t xml:space="preserve"> </w:t>
      </w:r>
      <w:r>
        <w:t xml:space="preserve">- All on-premises servers default to</w:t>
      </w:r>
      <w:r>
        <w:t xml:space="preserve"> </w:t>
      </w:r>
      <w:r>
        <w:rPr>
          <w:b/>
          <w:bCs/>
        </w:rPr>
        <w:t xml:space="preserve">nonprod</w:t>
      </w:r>
      <w:r>
        <w:t xml:space="preserve">.</w:t>
      </w:r>
      <w:r>
        <w:t xml:space="preserve"> </w:t>
      </w:r>
      <w:r>
        <w:t xml:space="preserve">- Application owners are asked to update the classification for production environments.</w:t>
      </w:r>
      <w:r>
        <w:t xml:space="preserve"> </w:t>
      </w:r>
      <w:r>
        <w:t xml:space="preserve">- Nonprod classification allows SoC to act quickly (e.g. shutdown) if needed.</w:t>
      </w:r>
      <w:r>
        <w:t xml:space="preserve"> </w:t>
      </w:r>
      <w:r>
        <w:t xml:space="preserve">- Application owners have an incentive to update the classification, because nonprod servers can be shutdown at any time.</w:t>
      </w:r>
    </w:p>
    <w:p>
      <w:pPr>
        <w:pStyle w:val="BodyText"/>
      </w:pPr>
      <w:r>
        <w:rPr>
          <w:b/>
          <w:bCs/>
        </w:rPr>
        <w:t xml:space="preserve">10GR group</w:t>
      </w:r>
      <w:r>
        <w:t xml:space="preserve"> </w:t>
      </w:r>
      <w:r>
        <w:t xml:space="preserve">- Accountable Tribe or Country filled by LOTs based on best knowledge.</w:t>
      </w:r>
    </w:p>
    <w:p>
      <w:pPr>
        <w:pStyle w:val="BlockText"/>
      </w:pPr>
      <w:r>
        <w:t xml:space="preserve">Note! This is a new tag! The definition has impact on the current work for the initial data fill.</w:t>
      </w:r>
    </w:p>
    <w:bookmarkEnd w:id="14"/>
    <w:bookmarkStart w:id="15" w:name="keeping-tag-data-up-to-date"/>
    <w:p>
      <w:pPr>
        <w:pStyle w:val="Heading2"/>
      </w:pPr>
      <w:r>
        <w:t xml:space="preserve">Keeping Tag Data Up-to-Date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server or configuration change</w:t>
            </w:r>
          </w:p>
        </w:tc>
        <w:tc>
          <w:tcPr/>
          <w:p>
            <w:pPr>
              <w:pStyle w:val="Compact"/>
            </w:pPr>
            <w:r>
              <w:t xml:space="preserve">LOT SI (or NI/DI) updates server tag information directly in IFSassyst</w:t>
            </w:r>
          </w:p>
        </w:tc>
      </w:tr>
    </w:tbl>
    <w:bookmarkEnd w:id="15"/>
    <w:bookmarkEnd w:id="16"/>
    <w:bookmarkStart w:id="17" w:name="ongoing-quality-monitoring"/>
    <w:p>
      <w:pPr>
        <w:pStyle w:val="Heading1"/>
      </w:pPr>
      <w:r>
        <w:t xml:space="preserve">Ongoing Quality Monitoring</w:t>
      </w:r>
    </w:p>
    <w:p>
      <w:pPr>
        <w:pStyle w:val="Compact"/>
        <w:numPr>
          <w:ilvl w:val="0"/>
          <w:numId w:val="1003"/>
        </w:numPr>
      </w:pPr>
      <w:r>
        <w:t xml:space="preserve">The PowerBI report will be extended to show missing tags.</w:t>
      </w:r>
    </w:p>
    <w:p>
      <w:pPr>
        <w:pStyle w:val="Compact"/>
        <w:numPr>
          <w:ilvl w:val="0"/>
          <w:numId w:val="1003"/>
        </w:numPr>
      </w:pPr>
      <w:r>
        <w:t xml:space="preserve">ITAM Squad reviews tag consistency at least monthly and triggers corrective actions (approaching LOTs or App Owners as needed).</w:t>
      </w:r>
    </w:p>
    <w:bookmarkEnd w:id="17"/>
    <w:bookmarkStart w:id="18" w:name="api-and-data-delivery"/>
    <w:p>
      <w:pPr>
        <w:pStyle w:val="Heading1"/>
      </w:pPr>
      <w:r>
        <w:t xml:space="preserve">API and Data Delivery</w:t>
      </w:r>
    </w:p>
    <w:p>
      <w:pPr>
        <w:pStyle w:val="FirstParagraph"/>
      </w:pPr>
      <w:r>
        <w:t xml:space="preserve">IFSassyst will expose the following server data via API and/or file export to EDR and Tenable:</w:t>
      </w:r>
    </w:p>
    <w:p>
      <w:pPr>
        <w:pStyle w:val="Compact"/>
        <w:numPr>
          <w:ilvl w:val="0"/>
          <w:numId w:val="1004"/>
        </w:numPr>
      </w:pPr>
      <w:r>
        <w:t xml:space="preserve">Server name</w:t>
      </w:r>
    </w:p>
    <w:p>
      <w:pPr>
        <w:pStyle w:val="Compact"/>
        <w:numPr>
          <w:ilvl w:val="0"/>
          <w:numId w:val="1004"/>
        </w:numPr>
      </w:pPr>
      <w:r>
        <w:t xml:space="preserve">LeanIX Application</w:t>
      </w:r>
    </w:p>
    <w:p>
      <w:pPr>
        <w:pStyle w:val="Compact"/>
        <w:numPr>
          <w:ilvl w:val="0"/>
          <w:numId w:val="1004"/>
        </w:numPr>
      </w:pPr>
      <w:r>
        <w:t xml:space="preserve">LeanIX IT Component</w:t>
      </w:r>
    </w:p>
    <w:p>
      <w:pPr>
        <w:pStyle w:val="Compact"/>
        <w:numPr>
          <w:ilvl w:val="0"/>
          <w:numId w:val="1004"/>
        </w:numPr>
      </w:pPr>
      <w:r>
        <w:t xml:space="preserve">Operationally Responsible Team</w:t>
      </w:r>
    </w:p>
    <w:p>
      <w:pPr>
        <w:pStyle w:val="Compact"/>
        <w:numPr>
          <w:ilvl w:val="0"/>
          <w:numId w:val="1004"/>
        </w:numPr>
      </w:pPr>
      <w:r>
        <w:t xml:space="preserve">Accountable Team</w:t>
      </w:r>
    </w:p>
    <w:p>
      <w:pPr>
        <w:pStyle w:val="Compact"/>
        <w:numPr>
          <w:ilvl w:val="0"/>
          <w:numId w:val="1004"/>
        </w:numPr>
      </w:pPr>
      <w:r>
        <w:t xml:space="preserve">Server Type (Prod / Non-Prod)</w:t>
      </w:r>
    </w:p>
    <w:p>
      <w:pPr>
        <w:pStyle w:val="Compact"/>
        <w:numPr>
          <w:ilvl w:val="0"/>
          <w:numId w:val="1004"/>
        </w:numPr>
      </w:pPr>
      <w:r>
        <w:t xml:space="preserve">10GR group (Tribe or Country)</w:t>
      </w:r>
    </w:p>
    <w:p>
      <w:pPr>
        <w:pStyle w:val="FirstParagraph"/>
      </w:pPr>
      <w:r>
        <w:rPr>
          <w:b/>
          <w:bCs/>
        </w:rPr>
        <w:t xml:space="preserve">Security concern:</w:t>
      </w:r>
      <w:r>
        <w:t xml:space="preserve"> </w:t>
      </w:r>
      <w:r>
        <w:t xml:space="preserve">A compromise of IFSassyst could lead to mass tag changes, which would cause incorrect permissions in EDR and other tools.</w:t>
      </w:r>
    </w:p>
    <w:p>
      <w:pPr>
        <w:pStyle w:val="BodyText"/>
      </w:pPr>
      <w:r>
        <w:t xml:space="preserve">Proposed mitigations:</w:t>
      </w:r>
      <w:r>
        <w:t xml:space="preserve"> </w:t>
      </w:r>
      <w:r>
        <w:t xml:space="preserve">- IFSassyst is monitored by SIEM with a focus on detecting mass changes</w:t>
      </w:r>
      <w:r>
        <w:t xml:space="preserve"> </w:t>
      </w:r>
      <w:r>
        <w:t xml:space="preserve">- Data exchange via regular export/import (with a partial human review step) rather than direct live API</w:t>
      </w:r>
      <w:r>
        <w:t xml:space="preserve"> </w:t>
      </w:r>
      <w:r>
        <w:t xml:space="preserve">- IFSassyst frontend changes require ITAM Squad approval to limit human error</w:t>
      </w:r>
    </w:p>
    <w:bookmarkEnd w:id="18"/>
    <w:bookmarkStart w:id="19" w:name="access-control-rbac"/>
    <w:p>
      <w:pPr>
        <w:pStyle w:val="Heading1"/>
      </w:pPr>
      <w:r>
        <w:t xml:space="preserve">Access Control (RBAC)</w:t>
      </w:r>
    </w:p>
    <w:p>
      <w:pPr>
        <w:pStyle w:val="FirstParagraph"/>
      </w:pPr>
      <w:r>
        <w:t xml:space="preserve">Viewing server and tag data for all servers is restricted to:</w:t>
      </w:r>
      <w:r>
        <w:t xml:space="preserve"> </w:t>
      </w:r>
      <w:r>
        <w:t xml:space="preserve">- IT Security and SoC</w:t>
      </w:r>
      <w:r>
        <w:t xml:space="preserve"> </w:t>
      </w:r>
      <w:r>
        <w:t xml:space="preserve">- IT Infrastructure LOTs</w:t>
      </w:r>
      <w:r>
        <w:t xml:space="preserve"> </w:t>
      </w:r>
      <w:r>
        <w:t xml:space="preserve">- We enable IT Asset Management (Patrick)</w:t>
      </w:r>
      <w:r>
        <w:t xml:space="preserve"> </w:t>
      </w:r>
      <w:r>
        <w:t xml:space="preserve">- We drive Public Cloud Adoption (Janusz)</w:t>
      </w:r>
      <w:r>
        <w:t xml:space="preserve"> </w:t>
      </w:r>
      <w:r>
        <w:t xml:space="preserve">- We enable Public Cloud Solutions (Jan)</w:t>
      </w:r>
    </w:p>
    <w:p>
      <w:pPr>
        <w:pStyle w:val="BodyText"/>
      </w:pPr>
      <w:r>
        <w:t xml:space="preserve">All other teams and application owners have limited, scoped access only (where technically possible).</w:t>
      </w:r>
    </w:p>
    <w:bookmarkEnd w:id="19"/>
    <w:bookmarkStart w:id="23" w:name="next-steps"/>
    <w:p>
      <w:pPr>
        <w:pStyle w:val="Heading1"/>
      </w:pPr>
      <w:r>
        <w:t xml:space="preserve">Next Steps</w:t>
      </w:r>
    </w:p>
    <w:bookmarkStart w:id="20" w:name="initial-data-fill-target-end-of-february"/>
    <w:p>
      <w:pPr>
        <w:pStyle w:val="Heading2"/>
      </w:pPr>
      <w:r>
        <w:t xml:space="preserve">Initial Data Fill</w:t>
      </w:r>
      <w:r>
        <w:t xml:space="preserve"> </w:t>
      </w:r>
      <w:r>
        <w:rPr>
          <w:i/>
          <w:iCs/>
        </w:rPr>
        <w:t xml:space="preserve">(target: end of February)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IFSassyst technically for new tags, automations, and PowerBI</w:t>
            </w:r>
          </w:p>
        </w:tc>
        <w:tc>
          <w:tcPr/>
          <w:p>
            <w:pPr>
              <w:pStyle w:val="Compact"/>
            </w:pPr>
            <w:r>
              <w:t xml:space="preserve">ITAM Squad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Excel template for cloud infrastructure and share with Jan</w:t>
            </w:r>
          </w:p>
        </w:tc>
        <w:tc>
          <w:tcPr/>
          <w:p>
            <w:pPr>
              <w:pStyle w:val="Compact"/>
            </w:pPr>
            <w:r>
              <w:t xml:space="preserve">ITAM Squad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template: LeanIX Tag, Operational Responsibility, Country Tag, Server Type</w:t>
            </w:r>
          </w:p>
        </w:tc>
        <w:tc>
          <w:tcPr/>
          <w:p>
            <w:pPr>
              <w:pStyle w:val="Compact"/>
            </w:pPr>
            <w:r>
              <w:t xml:space="preserve">Jan Harms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Tunde’s IT Security tag evaluation, pre-fill Operational Responsibility, share with LOT SI</w:t>
            </w:r>
          </w:p>
        </w:tc>
        <w:tc>
          <w:tcPr/>
          <w:p>
            <w:pPr>
              <w:pStyle w:val="Compact"/>
            </w:pPr>
            <w:r>
              <w:t xml:space="preserve">ITAM Squad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check data, align LOT SI/NI/DI on responsibilities and IT Component tags</w:t>
            </w:r>
          </w:p>
        </w:tc>
        <w:tc>
          <w:tcPr/>
          <w:p>
            <w:pPr>
              <w:pStyle w:val="Compact"/>
            </w:pPr>
            <w:r>
              <w:t xml:space="preserve">LOT SI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data to IFSassyst, share PowerBI quality report, close gaps with LOTs/App Owners</w:t>
            </w:r>
          </w:p>
        </w:tc>
        <w:tc>
          <w:tcPr/>
          <w:p>
            <w:pPr>
              <w:pStyle w:val="Compact"/>
            </w:pPr>
            <w:r>
              <w:t xml:space="preserve">ITAM Squad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bookmarkEnd w:id="20"/>
    <w:bookmarkStart w:id="21" w:name="api-go-live-target-end-of-march"/>
    <w:p>
      <w:pPr>
        <w:pStyle w:val="Heading2"/>
      </w:pPr>
      <w:r>
        <w:t xml:space="preserve">API Go-Live</w:t>
      </w:r>
      <w:r>
        <w:t xml:space="preserve"> </w:t>
      </w:r>
      <w:r>
        <w:rPr>
          <w:i/>
          <w:iCs/>
        </w:rPr>
        <w:t xml:space="preserve">(target: end of March)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 API with required data fields</w:t>
            </w:r>
          </w:p>
        </w:tc>
        <w:tc>
          <w:tcPr/>
          <w:p>
            <w:pPr>
              <w:pStyle w:val="Compact"/>
            </w:pPr>
            <w:r>
              <w:t xml:space="preserve">ITAM Squad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Tenable API integration</w:t>
            </w:r>
          </w:p>
        </w:tc>
        <w:tc>
          <w:tcPr/>
          <w:p>
            <w:pPr>
              <w:pStyle w:val="Compact"/>
            </w:pPr>
            <w:r>
              <w:t xml:space="preserve">Arpita + Tunde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and configure EDR API integration</w:t>
            </w:r>
          </w:p>
        </w:tc>
        <w:tc>
          <w:tcPr/>
          <w:p>
            <w:pPr>
              <w:pStyle w:val="Compact"/>
            </w:pPr>
            <w:r>
              <w:t xml:space="preserve">Konrad + Adam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Cross-check tag data against existing tags in Tenable and EDR before go-live</w:t>
            </w:r>
          </w:p>
        </w:tc>
        <w:tc>
          <w:tcPr/>
          <w:p>
            <w:pPr>
              <w:pStyle w:val="Compact"/>
            </w:pPr>
            <w:r>
              <w:t xml:space="preserve">IT Security + ITAM</w:t>
            </w:r>
          </w:p>
        </w:tc>
      </w:tr>
    </w:tbl>
    <w:bookmarkEnd w:id="21"/>
    <w:bookmarkStart w:id="22" w:name="other"/>
    <w:p>
      <w:pPr>
        <w:pStyle w:val="Heading2"/>
      </w:pPr>
      <w:r>
        <w:t xml:space="preserve">Other</w:t>
      </w:r>
    </w:p>
    <w:p>
      <w:pPr>
        <w:pStyle w:val="Compact"/>
        <w:numPr>
          <w:ilvl w:val="0"/>
          <w:numId w:val="1005"/>
        </w:numPr>
      </w:pPr>
      <w:r>
        <w:t xml:space="preserve">ITAM Squad provides PowerBI report access to all involved teams once completed</w:t>
      </w:r>
    </w:p>
    <w:p>
      <w:pPr>
        <w:pStyle w:val="Compact"/>
        <w:numPr>
          <w:ilvl w:val="0"/>
          <w:numId w:val="1005"/>
        </w:numPr>
      </w:pPr>
      <w:r>
        <w:t xml:space="preserve">IT Security implements SIEM integration for IFSassyst</w:t>
      </w:r>
    </w:p>
    <w:p>
      <w:pPr>
        <w:pStyle w:val="Compact"/>
        <w:numPr>
          <w:ilvl w:val="0"/>
          <w:numId w:val="1005"/>
        </w:numPr>
      </w:pPr>
      <w:r>
        <w:t xml:space="preserve">ITAM Squad defines quality reporting and regular update process → present to group in March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 Tagging</dc:title>
  <dc:creator/>
  <cp:keywords/>
  <dcterms:created xsi:type="dcterms:W3CDTF">2026-03-13T15:39:59Z</dcterms:created>
  <dcterms:modified xsi:type="dcterms:W3CDTF">2026-03-13T15:39:59Z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