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CFCC6" w14:textId="54E1AB9C" w:rsidR="00B427B2" w:rsidRPr="00A7318D" w:rsidRDefault="00B427B2" w:rsidP="00B427B2">
      <w:pPr>
        <w:pStyle w:val="ADDRESS"/>
        <w:spacing w:line="240" w:lineRule="auto"/>
        <w:ind w:right="1559"/>
        <w:rPr>
          <w:rFonts w:ascii="Arial" w:hAnsi="Arial" w:cs="Arial"/>
          <w:b/>
          <w:noProof w:val="0"/>
          <w:sz w:val="32"/>
          <w:szCs w:val="21"/>
          <w:lang w:val="en-US"/>
        </w:rPr>
      </w:pPr>
      <w:r w:rsidRPr="00A7318D">
        <w:rPr>
          <w:rFonts w:ascii="Arial" w:hAnsi="Arial" w:cs="Arial"/>
          <w:b/>
          <w:noProof w:val="0"/>
          <w:sz w:val="32"/>
          <w:szCs w:val="21"/>
          <w:lang w:val="en-US"/>
        </w:rPr>
        <w:t>Investigating the persistence of Fe-P in lake sediment under sulfidic conditions</w:t>
      </w:r>
    </w:p>
    <w:p w14:paraId="252A1A50" w14:textId="4E231D60" w:rsidR="00B427B2" w:rsidRPr="00A7318D" w:rsidRDefault="00B427B2" w:rsidP="00B427B2">
      <w:pPr>
        <w:pStyle w:val="ADDRESS"/>
        <w:ind w:left="0" w:right="1559" w:firstLine="0"/>
        <w:rPr>
          <w:rFonts w:ascii="Arial" w:hAnsi="Arial" w:cs="Arial"/>
          <w:noProof w:val="0"/>
          <w:sz w:val="21"/>
          <w:szCs w:val="21"/>
          <w:vertAlign w:val="superscript"/>
          <w:lang w:val="en-US"/>
        </w:rPr>
      </w:pPr>
      <w:r w:rsidRPr="00A7318D">
        <w:rPr>
          <w:rFonts w:ascii="Arial" w:hAnsi="Arial" w:cs="Arial"/>
          <w:noProof w:val="0"/>
          <w:sz w:val="21"/>
          <w:szCs w:val="21"/>
          <w:lang w:val="en-US"/>
        </w:rPr>
        <w:t>Harm van Kuppevelt</w:t>
      </w:r>
      <w:r w:rsidRPr="00A7318D">
        <w:rPr>
          <w:rFonts w:ascii="Arial" w:hAnsi="Arial" w:cs="Arial"/>
          <w:noProof w:val="0"/>
          <w:color w:val="000000"/>
          <w:sz w:val="21"/>
          <w:szCs w:val="22"/>
          <w:vertAlign w:val="superscript"/>
          <w:lang w:val="en-US"/>
        </w:rPr>
        <w:t>12</w:t>
      </w:r>
      <w:r w:rsidRPr="00A7318D">
        <w:rPr>
          <w:rFonts w:ascii="Arial" w:hAnsi="Arial" w:cs="Arial"/>
          <w:noProof w:val="0"/>
          <w:color w:val="000000"/>
          <w:sz w:val="21"/>
          <w:szCs w:val="22"/>
          <w:lang w:val="en-US"/>
        </w:rPr>
        <w:t>*, Michael Hupfer</w:t>
      </w:r>
      <w:r w:rsidRPr="00A7318D">
        <w:rPr>
          <w:rFonts w:ascii="Arial" w:hAnsi="Arial" w:cs="Arial"/>
          <w:noProof w:val="0"/>
          <w:color w:val="000000"/>
          <w:sz w:val="21"/>
          <w:szCs w:val="22"/>
          <w:lang w:val="en-US"/>
        </w:rPr>
        <w:softHyphen/>
      </w:r>
      <w:r w:rsidRPr="00A7318D">
        <w:rPr>
          <w:rFonts w:ascii="Arial" w:hAnsi="Arial" w:cs="Arial"/>
          <w:noProof w:val="0"/>
          <w:color w:val="000000"/>
          <w:sz w:val="21"/>
          <w:szCs w:val="22"/>
          <w:vertAlign w:val="superscript"/>
          <w:lang w:val="en-US"/>
        </w:rPr>
        <w:t>12</w:t>
      </w:r>
      <w:r w:rsidRPr="00A7318D">
        <w:rPr>
          <w:rFonts w:ascii="Arial" w:hAnsi="Arial" w:cs="Arial"/>
          <w:noProof w:val="0"/>
          <w:color w:val="000000"/>
          <w:sz w:val="21"/>
          <w:szCs w:val="22"/>
          <w:lang w:val="en-US"/>
        </w:rPr>
        <w:t>, Ugo Marzocchi</w:t>
      </w:r>
      <w:r w:rsidRPr="00A7318D">
        <w:rPr>
          <w:rFonts w:ascii="Arial" w:hAnsi="Arial" w:cs="Arial"/>
          <w:noProof w:val="0"/>
          <w:color w:val="000000"/>
          <w:sz w:val="21"/>
          <w:szCs w:val="22"/>
          <w:vertAlign w:val="superscript"/>
          <w:lang w:val="en-US"/>
        </w:rPr>
        <w:t>3</w:t>
      </w:r>
    </w:p>
    <w:p w14:paraId="5B40357E" w14:textId="77777777" w:rsidR="00B427B2" w:rsidRPr="00A7318D" w:rsidRDefault="00B427B2" w:rsidP="00B427B2">
      <w:pPr>
        <w:pStyle w:val="ADDRESS"/>
        <w:ind w:left="0" w:right="2268" w:firstLine="0"/>
        <w:rPr>
          <w:rFonts w:ascii="Arial" w:hAnsi="Arial" w:cs="Arial"/>
          <w:noProof w:val="0"/>
          <w:sz w:val="16"/>
          <w:szCs w:val="16"/>
          <w:lang w:val="en-US"/>
        </w:rPr>
      </w:pPr>
    </w:p>
    <w:p w14:paraId="49511916" w14:textId="77777777" w:rsidR="00B427B2" w:rsidRPr="00A7318D" w:rsidRDefault="00B427B2" w:rsidP="00B427B2">
      <w:pPr>
        <w:pStyle w:val="ADDRESS"/>
        <w:ind w:right="2268"/>
        <w:rPr>
          <w:rFonts w:ascii="Arial" w:hAnsi="Arial" w:cs="Arial"/>
          <w:noProof w:val="0"/>
          <w:color w:val="000000"/>
          <w:sz w:val="20"/>
          <w:szCs w:val="21"/>
          <w:lang w:val="en-US"/>
        </w:rPr>
      </w:pPr>
      <w:r w:rsidRPr="00A7318D">
        <w:rPr>
          <w:rFonts w:ascii="Arial" w:hAnsi="Arial" w:cs="Arial"/>
          <w:noProof w:val="0"/>
          <w:color w:val="000000"/>
          <w:sz w:val="20"/>
          <w:szCs w:val="21"/>
          <w:lang w:val="en-US"/>
        </w:rPr>
        <w:t>* harm.van.kuppevelt@igb-berlin.de</w:t>
      </w:r>
    </w:p>
    <w:p w14:paraId="473C3390" w14:textId="77777777" w:rsidR="00B427B2" w:rsidRPr="00A7318D" w:rsidRDefault="00B427B2" w:rsidP="00B427B2">
      <w:pPr>
        <w:pStyle w:val="ADDRESS"/>
        <w:ind w:left="0" w:right="2268" w:firstLine="0"/>
        <w:rPr>
          <w:rFonts w:ascii="Arial" w:hAnsi="Arial" w:cs="Arial"/>
          <w:noProof w:val="0"/>
          <w:color w:val="000000"/>
          <w:sz w:val="20"/>
          <w:szCs w:val="21"/>
          <w:lang w:val="en-US"/>
        </w:rPr>
      </w:pPr>
      <w:r w:rsidRPr="00A7318D">
        <w:rPr>
          <w:rFonts w:ascii="Arial" w:hAnsi="Arial" w:cs="Arial"/>
          <w:noProof w:val="0"/>
          <w:color w:val="000000"/>
          <w:sz w:val="20"/>
          <w:szCs w:val="21"/>
          <w:vertAlign w:val="superscript"/>
          <w:lang w:val="en-US"/>
        </w:rPr>
        <w:t>1</w:t>
      </w:r>
      <w:r w:rsidRPr="00A7318D">
        <w:rPr>
          <w:rFonts w:ascii="Arial" w:hAnsi="Arial" w:cs="Arial"/>
          <w:noProof w:val="0"/>
          <w:color w:val="000000"/>
          <w:sz w:val="20"/>
          <w:szCs w:val="21"/>
          <w:lang w:val="en-US"/>
        </w:rPr>
        <w:t xml:space="preserve"> Leibniz Institute of Freshwater Ecology and Inland Fisheries, </w:t>
      </w:r>
      <w:proofErr w:type="spellStart"/>
      <w:r w:rsidRPr="00A7318D">
        <w:rPr>
          <w:rFonts w:ascii="Arial" w:hAnsi="Arial" w:cs="Arial"/>
          <w:noProof w:val="0"/>
          <w:color w:val="000000"/>
          <w:sz w:val="20"/>
          <w:szCs w:val="21"/>
          <w:lang w:val="en-US"/>
        </w:rPr>
        <w:t>Müggelseedamm</w:t>
      </w:r>
      <w:proofErr w:type="spellEnd"/>
      <w:r w:rsidRPr="00A7318D">
        <w:rPr>
          <w:rFonts w:ascii="Arial" w:hAnsi="Arial" w:cs="Arial"/>
          <w:noProof w:val="0"/>
          <w:color w:val="000000"/>
          <w:sz w:val="20"/>
          <w:szCs w:val="21"/>
          <w:lang w:val="en-US"/>
        </w:rPr>
        <w:t xml:space="preserve"> 301, 12587 Berlin, Germany</w:t>
      </w:r>
    </w:p>
    <w:p w14:paraId="6B92FB98" w14:textId="77777777" w:rsidR="00B427B2" w:rsidRPr="00A7318D" w:rsidRDefault="00B427B2" w:rsidP="00B427B2">
      <w:pPr>
        <w:pStyle w:val="ADDRESS"/>
        <w:tabs>
          <w:tab w:val="left" w:pos="5269"/>
        </w:tabs>
        <w:rPr>
          <w:rFonts w:ascii="Arial" w:hAnsi="Arial" w:cs="Arial"/>
          <w:noProof w:val="0"/>
          <w:color w:val="000000"/>
          <w:sz w:val="20"/>
          <w:szCs w:val="21"/>
          <w:lang w:val="en-US"/>
        </w:rPr>
      </w:pPr>
      <w:r w:rsidRPr="00A7318D">
        <w:rPr>
          <w:rFonts w:ascii="Arial" w:hAnsi="Arial" w:cs="Arial"/>
          <w:noProof w:val="0"/>
          <w:color w:val="000000"/>
          <w:sz w:val="20"/>
          <w:szCs w:val="21"/>
          <w:vertAlign w:val="superscript"/>
          <w:lang w:val="en-US"/>
        </w:rPr>
        <w:t>2</w:t>
      </w:r>
      <w:r w:rsidRPr="00A7318D">
        <w:rPr>
          <w:rFonts w:ascii="Arial" w:hAnsi="Arial" w:cs="Arial"/>
          <w:noProof w:val="0"/>
          <w:sz w:val="20"/>
          <w:szCs w:val="21"/>
          <w:lang w:val="en-US"/>
        </w:rPr>
        <w:t xml:space="preserve"> </w:t>
      </w:r>
      <w:r w:rsidRPr="00A7318D">
        <w:rPr>
          <w:rFonts w:ascii="Arial" w:hAnsi="Arial" w:cs="Arial"/>
          <w:noProof w:val="0"/>
          <w:color w:val="000000"/>
          <w:sz w:val="20"/>
          <w:szCs w:val="21"/>
          <w:lang w:val="en-US"/>
        </w:rPr>
        <w:t>Brandenburg University of Technology Cottbus-</w:t>
      </w:r>
      <w:proofErr w:type="spellStart"/>
      <w:r w:rsidRPr="00A7318D">
        <w:rPr>
          <w:rFonts w:ascii="Arial" w:hAnsi="Arial" w:cs="Arial"/>
          <w:noProof w:val="0"/>
          <w:color w:val="000000"/>
          <w:sz w:val="20"/>
          <w:szCs w:val="21"/>
          <w:lang w:val="en-US"/>
        </w:rPr>
        <w:t>Senftenberg</w:t>
      </w:r>
      <w:proofErr w:type="spellEnd"/>
      <w:r w:rsidRPr="00A7318D">
        <w:rPr>
          <w:rFonts w:ascii="Arial" w:hAnsi="Arial" w:cs="Arial"/>
          <w:noProof w:val="0"/>
          <w:color w:val="000000"/>
          <w:sz w:val="20"/>
          <w:szCs w:val="21"/>
          <w:lang w:val="en-US"/>
        </w:rPr>
        <w:t xml:space="preserve">, Platz der </w:t>
      </w:r>
      <w:proofErr w:type="spellStart"/>
      <w:r w:rsidRPr="00A7318D">
        <w:rPr>
          <w:rFonts w:ascii="Arial" w:hAnsi="Arial" w:cs="Arial"/>
          <w:noProof w:val="0"/>
          <w:color w:val="000000"/>
          <w:sz w:val="20"/>
          <w:szCs w:val="21"/>
          <w:lang w:val="en-US"/>
        </w:rPr>
        <w:t>Deutschen</w:t>
      </w:r>
      <w:proofErr w:type="spellEnd"/>
      <w:r w:rsidRPr="00A7318D">
        <w:rPr>
          <w:rFonts w:ascii="Arial" w:hAnsi="Arial" w:cs="Arial"/>
          <w:noProof w:val="0"/>
          <w:color w:val="000000"/>
          <w:sz w:val="20"/>
          <w:szCs w:val="21"/>
          <w:lang w:val="en-US"/>
        </w:rPr>
        <w:t xml:space="preserve"> Einheit 1, 03046 Cottbus, Germany</w:t>
      </w:r>
    </w:p>
    <w:p w14:paraId="00CADFB9" w14:textId="171A7AB7" w:rsidR="00B427B2" w:rsidRPr="00A7318D" w:rsidRDefault="00B427B2" w:rsidP="00B427B2">
      <w:pPr>
        <w:pStyle w:val="ADDRESS"/>
        <w:tabs>
          <w:tab w:val="left" w:pos="5269"/>
        </w:tabs>
        <w:rPr>
          <w:rFonts w:ascii="Arial" w:hAnsi="Arial" w:cs="Arial"/>
          <w:noProof w:val="0"/>
          <w:color w:val="000000"/>
          <w:sz w:val="20"/>
          <w:szCs w:val="21"/>
          <w:lang w:val="en-US"/>
        </w:rPr>
      </w:pPr>
      <w:r w:rsidRPr="00A7318D">
        <w:rPr>
          <w:rFonts w:ascii="Arial" w:hAnsi="Arial" w:cs="Arial"/>
          <w:noProof w:val="0"/>
          <w:color w:val="000000"/>
          <w:sz w:val="20"/>
          <w:szCs w:val="21"/>
          <w:vertAlign w:val="superscript"/>
          <w:lang w:val="en-US"/>
        </w:rPr>
        <w:t>3</w:t>
      </w:r>
      <w:r w:rsidRPr="00A7318D">
        <w:rPr>
          <w:rFonts w:ascii="Arial" w:hAnsi="Arial" w:cs="Arial"/>
          <w:noProof w:val="0"/>
          <w:color w:val="000000"/>
          <w:sz w:val="20"/>
          <w:szCs w:val="21"/>
          <w:lang w:val="en-US"/>
        </w:rPr>
        <w:t xml:space="preserve"> Center for Water Technology (WATEC), Department of Biology, Aarhus University, Ole Worms </w:t>
      </w:r>
      <w:proofErr w:type="spellStart"/>
      <w:r w:rsidRPr="00A7318D">
        <w:rPr>
          <w:rFonts w:ascii="Arial" w:hAnsi="Arial" w:cs="Arial"/>
          <w:noProof w:val="0"/>
          <w:color w:val="000000"/>
          <w:sz w:val="20"/>
          <w:szCs w:val="21"/>
          <w:lang w:val="en-US"/>
        </w:rPr>
        <w:t>Allé</w:t>
      </w:r>
      <w:proofErr w:type="spellEnd"/>
      <w:r w:rsidRPr="00A7318D">
        <w:rPr>
          <w:rFonts w:ascii="Arial" w:hAnsi="Arial" w:cs="Arial"/>
          <w:noProof w:val="0"/>
          <w:color w:val="000000"/>
          <w:sz w:val="20"/>
          <w:szCs w:val="21"/>
          <w:lang w:val="en-US"/>
        </w:rPr>
        <w:t xml:space="preserve"> 3, Building 1171, 8000 Aarhus C, Denmark</w:t>
      </w:r>
    </w:p>
    <w:p w14:paraId="4BADE8B6" w14:textId="7780F091" w:rsidR="00000000" w:rsidRPr="00A7318D" w:rsidRDefault="00B427B2" w:rsidP="00B427B2">
      <w:pPr>
        <w:pStyle w:val="Heading1"/>
      </w:pPr>
      <w:r w:rsidRPr="00A7318D">
        <w:t>Abstract</w:t>
      </w:r>
    </w:p>
    <w:p w14:paraId="2899E303" w14:textId="7B3B1F6E" w:rsidR="00B427B2" w:rsidRPr="00A7318D" w:rsidRDefault="00B427B2" w:rsidP="00946EDA">
      <w:pPr>
        <w:pStyle w:val="Heading1"/>
      </w:pPr>
      <w:r w:rsidRPr="00A7318D">
        <w:t>Introduction</w:t>
      </w:r>
    </w:p>
    <w:p w14:paraId="751AE3C7" w14:textId="77777777" w:rsidR="00C7048D" w:rsidRPr="00A7318D" w:rsidRDefault="00C7048D" w:rsidP="00946EDA">
      <w:r w:rsidRPr="00A7318D">
        <w:t>Eutrophication remains a critical environmental challenge for freshwater ecosystems globally, primarily driven by excess nutrient inputs that lead to algal blooms, hypoxia, and overall degradation of water quality (Ansari and Gill, 2014; Correll, 1998). Effective management of these nutrient levels is pivotal for the restoration and preservation of aquatic environments. Phosphorus (P) is often a limiting nutrient in these systems, and its management is crucial in curbing eutrophic conditions. While traditional approaches have focused on mitigating external sources of P such as agricultural runoff and urban wastewater, the complexity and persistence of internal P sources within lake sediments also require attention (Tammeorg et al., 2024).</w:t>
      </w:r>
    </w:p>
    <w:p w14:paraId="23A135B7" w14:textId="77777777" w:rsidR="00C7048D" w:rsidRPr="00A7318D" w:rsidRDefault="00C7048D" w:rsidP="00946EDA"/>
    <w:p w14:paraId="7A968106" w14:textId="77777777" w:rsidR="00C7048D" w:rsidRPr="00A7318D" w:rsidRDefault="00C7048D" w:rsidP="00946EDA">
      <w:r w:rsidRPr="00A7318D">
        <w:t>The internal cycling of phosphorus is influenced significantly by the interactions between iron (Fe) and sulfur (S) within the sediment. In oxygenated conditions, phosphorus can bind with iron hydroxides to form stable complexes, which act as sinks for phosphorus in the sediment (Gunnars et al., 2002). However, under reducing conditions, these iron-bound phosphates can become unstable and release phosphorus back into the water column (Hupfer and Lewandowski, 2008). This dynamic is further complicated by the presence of vivianite (Fe(II)3(PO4)2·8H2O), a mineral that can sequester phosphorus effectively under certain conditions (Rothe et al., 2016).</w:t>
      </w:r>
    </w:p>
    <w:p w14:paraId="7AE0B152" w14:textId="77777777" w:rsidR="00C7048D" w:rsidRPr="00A7318D" w:rsidRDefault="00C7048D" w:rsidP="00946EDA"/>
    <w:p w14:paraId="18FF9798" w14:textId="77777777" w:rsidR="00C7048D" w:rsidRPr="00A7318D" w:rsidRDefault="00C7048D" w:rsidP="00946EDA">
      <w:r w:rsidRPr="00A7318D">
        <w:t>Vivianite is particularly interesting due to its ability to store phosphorus in anoxic sediments, potentially serving as a long-term P sink in eutrophic systems. However, the formation and stability of vivianite are influenced by a variety of factors including the availability of Fe(II), the presence of sulfides, and microbial activity (Dijkstra et al., 2018; Rothe et al., 2016). Notably, the interaction between vivianite and sulfides poses a significant challenge to its stability. In sulfidic conditions, the reaction of sulfide with iron from vivianite can lead to the release of phosphorus, thus reducing the effectiveness of vivianite as a phosphorus sink and potentially exacerbating eutrophic conditions (Wilfert et al., 2020).</w:t>
      </w:r>
    </w:p>
    <w:p w14:paraId="20675EFD" w14:textId="309C2D76" w:rsidR="00C7048D" w:rsidRPr="00A7318D" w:rsidRDefault="00FA491E" w:rsidP="00946EDA">
      <w:r w:rsidRPr="00A7318D">
        <w:t xml:space="preserve">Sediment samples providing a high contrast for experimental treatments involving iron. Experiments with iron amendment by Heinrich et al. </w:t>
      </w:r>
      <w:r w:rsidRPr="00A7318D">
        <w:fldChar w:fldCharType="begin"/>
      </w:r>
      <w:r w:rsidRPr="00A7318D">
        <w:instrText xml:space="preserve"> ADDIN ZOTERO_ITEM CSL_CITATION {"citationID":"KFYn1jWN","properties":{"formattedCitation":"(2020)","plainCitation":"(2020)","noteIndex":0},"citationItems":[{"id":141,"uris":["http://zotero.org/users/9036806/items/PGLBGKGT"],"itemData":{"id":141,"type":"article-journal","container-title":"Water research","page":"116609","title":"Transformation of redox-sensitive to redox-stable iron-bound phosphorus in anoxic lake sediments under laboratory conditions","volume":"189","author":[{"family":"Heinrich","given":"Lena"},{"family":"Rothe","given":"Matthias"},{"family":"Braun","given":"Burga"},{"family":"Hupfer","given":"Michael"}],"issued":{"date-parts":[["2020"]]}},"label":"page","suppress-author":true}],"schema":"https://github.com/citation-style-language/schema/raw/master/csl-citation.json"} </w:instrText>
      </w:r>
      <w:r w:rsidRPr="00A7318D">
        <w:fldChar w:fldCharType="separate"/>
      </w:r>
      <w:r w:rsidRPr="00A7318D">
        <w:rPr>
          <w:rFonts w:ascii="Calibri" w:hAnsi="Calibri" w:cs="Calibri"/>
        </w:rPr>
        <w:t>(2020)</w:t>
      </w:r>
      <w:r w:rsidRPr="00A7318D">
        <w:fldChar w:fldCharType="end"/>
      </w:r>
      <w:r w:rsidRPr="00A7318D">
        <w:t xml:space="preserve"> demonstrated a transformation to vivianite within months timeframe under anoxic conditions</w:t>
      </w:r>
    </w:p>
    <w:p w14:paraId="47F9B1DD" w14:textId="38B3CF4D" w:rsidR="009000AA" w:rsidRPr="00A7318D" w:rsidRDefault="00C7048D" w:rsidP="00946EDA">
      <w:pPr>
        <w:rPr>
          <w:rFonts w:asciiTheme="majorHAnsi" w:eastAsiaTheme="majorEastAsia" w:hAnsiTheme="majorHAnsi" w:cstheme="majorBidi"/>
          <w:color w:val="2F5496" w:themeColor="accent1" w:themeShade="BF"/>
          <w:sz w:val="32"/>
          <w:szCs w:val="32"/>
        </w:rPr>
      </w:pPr>
      <w:r w:rsidRPr="00A7318D">
        <w:t xml:space="preserve">Our study addresses a critical gap in understanding the limiting effect of vivianite sulfidation on the effectiveness of iron amendments in freshwater sediments. By investigating the fate of vivianite under controlled, high sulfidic conditions, we aim to elucidate the mechanisms by which sulfide interactions may mobilize phosphorus from iron-bound reserves in sediments. This knowledge is </w:t>
      </w:r>
      <w:r w:rsidRPr="00A7318D">
        <w:lastRenderedPageBreak/>
        <w:t>crucial for developing strategies to manage internal phosphorus loads in lakes, particularly in the context of iron-based remediation strategies which may inadvertently promote sulfide production and phosphorus release if not properly managed. This investigation employs a combination of field sampling and controlled mesocosm experiments to simulate and observe the interactions between iron, sulfur, and phosphorus in sediments under varying redox conditions, providing insights into the complex biogeochemical processes that regulate nutrient cycling in aquatic systems.</w:t>
      </w:r>
      <w:r w:rsidR="009000AA" w:rsidRPr="00A7318D">
        <w:br w:type="page"/>
      </w:r>
    </w:p>
    <w:p w14:paraId="2631B20D" w14:textId="1F8B8F00" w:rsidR="00B427B2" w:rsidRPr="00A7318D" w:rsidRDefault="00B427B2" w:rsidP="00946EDA">
      <w:pPr>
        <w:pStyle w:val="Heading1"/>
      </w:pPr>
      <w:r w:rsidRPr="00A7318D">
        <w:lastRenderedPageBreak/>
        <w:t>Material and Methods</w:t>
      </w:r>
    </w:p>
    <w:p w14:paraId="2D7B77E7" w14:textId="77777777" w:rsidR="002E4E74" w:rsidRPr="00A7318D" w:rsidRDefault="002E4E74"/>
    <w:p w14:paraId="135240A8" w14:textId="4A0CCE84" w:rsidR="003322E9" w:rsidRPr="00A7318D" w:rsidRDefault="008C5C78" w:rsidP="00946EDA">
      <w:pPr>
        <w:pStyle w:val="Heading2"/>
        <w:rPr>
          <w:lang w:val="en-US"/>
        </w:rPr>
      </w:pPr>
      <w:r w:rsidRPr="00A7318D">
        <w:rPr>
          <w:rStyle w:val="Heading2Char"/>
          <w:lang w:val="en-US"/>
        </w:rPr>
        <w:t>Sediment</w:t>
      </w:r>
      <w:r w:rsidR="002E4E74" w:rsidRPr="00A7318D">
        <w:rPr>
          <w:rStyle w:val="Heading2Char"/>
          <w:lang w:val="en-US"/>
        </w:rPr>
        <w:t xml:space="preserve"> Collection</w:t>
      </w:r>
      <w:r w:rsidR="002E4E74" w:rsidRPr="00A7318D">
        <w:rPr>
          <w:lang w:val="en-US"/>
        </w:rPr>
        <w:t xml:space="preserve"> </w:t>
      </w:r>
    </w:p>
    <w:p w14:paraId="2B0892E9" w14:textId="71D41E81" w:rsidR="002E4E74" w:rsidRPr="00A7318D" w:rsidRDefault="002E4E74" w:rsidP="002E4E74">
      <w:r w:rsidRPr="00A7318D">
        <w:t>Sediment samples were collected</w:t>
      </w:r>
      <w:r w:rsidR="00C813D1" w:rsidRPr="00A7318D">
        <w:t xml:space="preserve"> in May 2023</w:t>
      </w:r>
      <w:r w:rsidRPr="00A7318D">
        <w:t xml:space="preserve"> from</w:t>
      </w:r>
      <w:r w:rsidR="0075751B" w:rsidRPr="00A7318D">
        <w:t xml:space="preserve"> lake Langer see (N52.24333 °, E13.78805 °),</w:t>
      </w:r>
      <w:r w:rsidRPr="00A7318D">
        <w:t xml:space="preserve"> a</w:t>
      </w:r>
      <w:r w:rsidR="0075751B" w:rsidRPr="00A7318D">
        <w:t xml:space="preserve"> shallow</w:t>
      </w:r>
      <w:r w:rsidRPr="00A7318D">
        <w:t xml:space="preserve"> </w:t>
      </w:r>
      <w:r w:rsidR="0075751B" w:rsidRPr="00A7318D">
        <w:t xml:space="preserve">eutrophic </w:t>
      </w:r>
      <w:r w:rsidRPr="00A7318D">
        <w:t>freshwater lake in</w:t>
      </w:r>
      <w:r w:rsidR="0075751B" w:rsidRPr="00A7318D">
        <w:t xml:space="preserve"> Eastern</w:t>
      </w:r>
      <w:r w:rsidRPr="00A7318D">
        <w:t xml:space="preserve"> </w:t>
      </w:r>
      <w:r w:rsidR="0075751B" w:rsidRPr="00A7318D">
        <w:t>Germany</w:t>
      </w:r>
      <w:r w:rsidRPr="00A7318D">
        <w:t xml:space="preserve"> </w:t>
      </w:r>
      <w:r w:rsidR="0075751B" w:rsidRPr="00A7318D">
        <w:t>characterized</w:t>
      </w:r>
      <w:r w:rsidRPr="00A7318D">
        <w:t xml:space="preserve"> </w:t>
      </w:r>
      <w:r w:rsidR="0075751B" w:rsidRPr="00A7318D">
        <w:t>by</w:t>
      </w:r>
      <w:r w:rsidRPr="00A7318D">
        <w:t xml:space="preserve"> its low iron content and </w:t>
      </w:r>
      <w:r w:rsidR="0075751B" w:rsidRPr="00A7318D">
        <w:t>high primary productivity</w:t>
      </w:r>
      <w:r w:rsidR="00FA491E" w:rsidRPr="00A7318D">
        <w:t xml:space="preserve">, chosen after </w:t>
      </w:r>
      <w:r w:rsidR="00352519" w:rsidRPr="00A7318D">
        <w:t xml:space="preserve"> Heinrich et al. </w:t>
      </w:r>
      <w:r w:rsidR="00352519" w:rsidRPr="00A7318D">
        <w:fldChar w:fldCharType="begin"/>
      </w:r>
      <w:r w:rsidR="00352519" w:rsidRPr="00A7318D">
        <w:instrText xml:space="preserve"> ADDIN ZOTERO_ITEM CSL_CITATION {"citationID":"KFYn1jWN","properties":{"formattedCitation":"(2020)","plainCitation":"(2020)","noteIndex":0},"citationItems":[{"id":141,"uris":["http://zotero.org/users/9036806/items/PGLBGKGT"],"itemData":{"id":141,"type":"article-journal","container-title":"Water research","page":"116609","title":"Transformation of redox-sensitive to redox-stable iron-bound phosphorus in anoxic lake sediments under laboratory conditions","volume":"189","author":[{"family":"Heinrich","given":"Lena"},{"family":"Rothe","given":"Matthias"},{"family":"Braun","given":"Burga"},{"family":"Hupfer","given":"Michael"}],"issued":{"date-parts":[["2020"]]}},"label":"page","suppress-author":true}],"schema":"https://github.com/citation-style-language/schema/raw/master/csl-citation.json"} </w:instrText>
      </w:r>
      <w:r w:rsidR="00352519" w:rsidRPr="00A7318D">
        <w:fldChar w:fldCharType="separate"/>
      </w:r>
      <w:r w:rsidR="00AD615F" w:rsidRPr="00A7318D">
        <w:rPr>
          <w:rFonts w:ascii="Calibri" w:hAnsi="Calibri" w:cs="Calibri"/>
        </w:rPr>
        <w:t>(2020)</w:t>
      </w:r>
      <w:r w:rsidR="00352519" w:rsidRPr="00A7318D">
        <w:fldChar w:fldCharType="end"/>
      </w:r>
      <w:r w:rsidR="00352519" w:rsidRPr="00A7318D">
        <w:t xml:space="preserve"> </w:t>
      </w:r>
      <w:r w:rsidR="00C813D1" w:rsidRPr="00A7318D">
        <w:t>A piston corer with diameter of 6cm was used to collect sediment cores at a water depth of 3.4 m.</w:t>
      </w:r>
      <w:r w:rsidRPr="00A7318D">
        <w:t xml:space="preserve"> Surface sediments from the top </w:t>
      </w:r>
      <w:r w:rsidR="00C813D1" w:rsidRPr="00A7318D">
        <w:t>3</w:t>
      </w:r>
      <w:r w:rsidRPr="00A7318D">
        <w:t xml:space="preserve"> cm were pooled, </w:t>
      </w:r>
      <w:r w:rsidR="00C813D1" w:rsidRPr="00A7318D">
        <w:t>gathering a total of 2L of sediment</w:t>
      </w:r>
      <w:r w:rsidRPr="00A7318D">
        <w:t>.</w:t>
      </w:r>
      <w:r w:rsidR="00C813D1" w:rsidRPr="00A7318D">
        <w:t xml:space="preserve"> The sediment was processed in the laboratory the same day.</w:t>
      </w:r>
    </w:p>
    <w:p w14:paraId="37D78F94" w14:textId="77777777" w:rsidR="00C813D1" w:rsidRPr="00A7318D" w:rsidRDefault="00C813D1" w:rsidP="00946EDA">
      <w:pPr>
        <w:pStyle w:val="Heading2"/>
        <w:rPr>
          <w:rStyle w:val="Heading2Char"/>
          <w:lang w:val="en-US"/>
        </w:rPr>
      </w:pPr>
      <w:r w:rsidRPr="00A7318D">
        <w:rPr>
          <w:rStyle w:val="Heading2Char"/>
          <w:lang w:val="en-US"/>
        </w:rPr>
        <w:t>Iron amendment</w:t>
      </w:r>
    </w:p>
    <w:p w14:paraId="02F8B875" w14:textId="713EA4D3" w:rsidR="002E4E74" w:rsidRPr="00A7318D" w:rsidRDefault="00C813D1" w:rsidP="002E4E74">
      <w:r w:rsidRPr="00A7318D">
        <w:t>Iron amendment and subsequent anoxic incubation stimulating vivianite formation was done</w:t>
      </w:r>
      <w:r w:rsidR="002E4E74" w:rsidRPr="00A7318D">
        <w:t xml:space="preserve"> </w:t>
      </w:r>
      <w:r w:rsidRPr="00A7318D">
        <w:t>following the method described by Heinrich et al. (2020).</w:t>
      </w:r>
      <w:r w:rsidR="00D73DDA" w:rsidRPr="00A7318D">
        <w:t xml:space="preserve"> Amorphous iron hydroxide (</w:t>
      </w:r>
      <w:proofErr w:type="spellStart"/>
      <w:r w:rsidR="00D73DDA" w:rsidRPr="00A7318D">
        <w:t>FerroSorp</w:t>
      </w:r>
      <w:proofErr w:type="spellEnd"/>
      <w:r w:rsidR="00D73DDA" w:rsidRPr="00A7318D">
        <w:rPr>
          <w:rFonts w:cstheme="minorHAnsi"/>
        </w:rPr>
        <w:t>®</w:t>
      </w:r>
      <w:r w:rsidR="00D73DDA" w:rsidRPr="00A7318D">
        <w:t xml:space="preserve"> Plus) was powdered using an agate mortar and pestle, and 10.1 g was suspended in a solution of 9.73 g NaH</w:t>
      </w:r>
      <w:r w:rsidR="00D73DDA" w:rsidRPr="00A7318D">
        <w:rPr>
          <w:vertAlign w:val="subscript"/>
        </w:rPr>
        <w:t>2</w:t>
      </w:r>
      <w:r w:rsidR="00D73DDA" w:rsidRPr="00A7318D">
        <w:t>PO</w:t>
      </w:r>
      <w:r w:rsidR="00D73DDA" w:rsidRPr="00A7318D">
        <w:rPr>
          <w:vertAlign w:val="subscript"/>
        </w:rPr>
        <w:t>4</w:t>
      </w:r>
      <w:r w:rsidR="00D73DDA" w:rsidRPr="00A7318D">
        <w:rPr>
          <w:rFonts w:cstheme="minorHAnsi"/>
        </w:rPr>
        <w:t>•</w:t>
      </w:r>
      <w:r w:rsidR="00D73DDA" w:rsidRPr="00A7318D">
        <w:t>2H</w:t>
      </w:r>
      <w:r w:rsidR="00D73DDA" w:rsidRPr="00A7318D">
        <w:rPr>
          <w:vertAlign w:val="subscript"/>
        </w:rPr>
        <w:t>2</w:t>
      </w:r>
      <w:r w:rsidR="00D73DDA" w:rsidRPr="00A7318D">
        <w:t>O</w:t>
      </w:r>
      <w:r w:rsidR="00CF3EAC" w:rsidRPr="00A7318D">
        <w:t xml:space="preserve"> in ultrapure water</w:t>
      </w:r>
      <w:r w:rsidR="00D73DDA" w:rsidRPr="00A7318D">
        <w:t>. The suspension was mixed for 2 days, then</w:t>
      </w:r>
      <w:r w:rsidR="00CF3EAC" w:rsidRPr="00A7318D">
        <w:t xml:space="preserve"> centrifuged and</w:t>
      </w:r>
      <w:r w:rsidR="00D73DDA" w:rsidRPr="00A7318D">
        <w:t xml:space="preserve"> washed 9</w:t>
      </w:r>
      <w:r w:rsidR="00CF3EAC" w:rsidRPr="00A7318D">
        <w:t xml:space="preserve"> times with ultrapure water to remove all P from the water.</w:t>
      </w:r>
      <w:r w:rsidR="00206151" w:rsidRPr="00A7318D">
        <w:t xml:space="preserve"> </w:t>
      </w:r>
      <w:r w:rsidR="00D73DDA" w:rsidRPr="00A7318D">
        <w:t xml:space="preserve"> The phosphate-loaded iron hydroxide (Fe-P)</w:t>
      </w:r>
      <w:r w:rsidRPr="00A7318D">
        <w:t xml:space="preserve"> </w:t>
      </w:r>
      <w:r w:rsidR="00CF3EAC" w:rsidRPr="00A7318D">
        <w:t>was suspended in 125mL ultrapure water, and directly used for sediment treatment.</w:t>
      </w:r>
      <w:r w:rsidRPr="00A7318D">
        <w:t xml:space="preserve"> </w:t>
      </w:r>
      <w:r w:rsidR="002B57CD" w:rsidRPr="00A7318D">
        <w:t>1 L of mixed s</w:t>
      </w:r>
      <w:r w:rsidR="002E4E74" w:rsidRPr="00A7318D">
        <w:t>ediment w</w:t>
      </w:r>
      <w:r w:rsidR="002B57CD" w:rsidRPr="00A7318D">
        <w:t>as</w:t>
      </w:r>
      <w:r w:rsidR="002E4E74" w:rsidRPr="00A7318D">
        <w:t xml:space="preserve"> enriched with</w:t>
      </w:r>
      <w:r w:rsidR="002B57CD" w:rsidRPr="00A7318D">
        <w:t xml:space="preserve"> 70 mL of Fe-P suspension. The sediment was incubated within a closed</w:t>
      </w:r>
      <w:r w:rsidR="00206151" w:rsidRPr="00A7318D">
        <w:t xml:space="preserve"> 1L</w:t>
      </w:r>
      <w:r w:rsidR="002B57CD" w:rsidRPr="00A7318D">
        <w:t xml:space="preserve"> bottle filled completely with sediment.</w:t>
      </w:r>
      <w:r w:rsidR="002E4E74" w:rsidRPr="00A7318D">
        <w:t xml:space="preserve"> </w:t>
      </w:r>
      <w:r w:rsidR="002B57CD" w:rsidRPr="00A7318D">
        <w:t>A</w:t>
      </w:r>
      <w:r w:rsidR="002E4E74" w:rsidRPr="00A7318D">
        <w:t xml:space="preserve"> control setup included</w:t>
      </w:r>
      <w:r w:rsidR="002B57CD" w:rsidRPr="00A7318D">
        <w:t xml:space="preserve"> </w:t>
      </w:r>
      <w:r w:rsidR="00206151" w:rsidRPr="00A7318D">
        <w:t xml:space="preserve">another </w:t>
      </w:r>
      <w:r w:rsidR="002E4E74" w:rsidRPr="00A7318D">
        <w:t xml:space="preserve">sediment </w:t>
      </w:r>
      <w:r w:rsidR="002B57CD" w:rsidRPr="00A7318D">
        <w:t>bottle</w:t>
      </w:r>
      <w:r w:rsidR="002E4E74" w:rsidRPr="00A7318D">
        <w:t xml:space="preserve"> without Fe-P treatment.</w:t>
      </w:r>
      <w:r w:rsidR="002B57CD" w:rsidRPr="00A7318D">
        <w:t xml:space="preserve"> The containers were placed air tight jars with oxygen absorption satchels, and stored in a nitrogen filled glovebox (O</w:t>
      </w:r>
      <w:r w:rsidR="002B57CD" w:rsidRPr="00A7318D">
        <w:rPr>
          <w:vertAlign w:val="subscript"/>
        </w:rPr>
        <w:t xml:space="preserve">2 </w:t>
      </w:r>
      <w:r w:rsidR="002B57CD" w:rsidRPr="00A7318D">
        <w:t xml:space="preserve">&lt;1%) to ensure anoxic conditions during incubation. Periodically, the </w:t>
      </w:r>
      <w:r w:rsidR="009000AA" w:rsidRPr="00A7318D">
        <w:t>bottles were mixed, subsamples were taken under N</w:t>
      </w:r>
      <w:r w:rsidR="009000AA" w:rsidRPr="00A7318D">
        <w:rPr>
          <w:vertAlign w:val="subscript"/>
        </w:rPr>
        <w:t xml:space="preserve">2 </w:t>
      </w:r>
      <w:r w:rsidR="009000AA" w:rsidRPr="00A7318D">
        <w:t>atmosphere and analyzed by sequential extraction to monitor Fe-P transformation. After 42 days of anoxic incubation, final subsamples were taken and the sediment processed for the subsequent incubation procedure.</w:t>
      </w:r>
    </w:p>
    <w:p w14:paraId="4DB83F6D" w14:textId="77777777" w:rsidR="00411931" w:rsidRPr="00A7318D" w:rsidRDefault="002E4E74" w:rsidP="00946EDA">
      <w:pPr>
        <w:pStyle w:val="Heading2"/>
        <w:rPr>
          <w:lang w:val="en-US"/>
        </w:rPr>
      </w:pPr>
      <w:r w:rsidRPr="00A7318D">
        <w:rPr>
          <w:rStyle w:val="Heading2Char"/>
          <w:lang w:val="en-US"/>
        </w:rPr>
        <w:t>Incubation Procedure</w:t>
      </w:r>
      <w:r w:rsidR="00411931" w:rsidRPr="00A7318D">
        <w:rPr>
          <w:rStyle w:val="Heading2Char"/>
          <w:lang w:val="en-US"/>
        </w:rPr>
        <w:t xml:space="preserve"> </w:t>
      </w:r>
      <w:r w:rsidR="00411931" w:rsidRPr="00A7318D">
        <w:rPr>
          <w:lang w:val="en-US"/>
        </w:rPr>
        <w:t xml:space="preserve"> </w:t>
      </w:r>
    </w:p>
    <w:p w14:paraId="5445F85F" w14:textId="373183CA" w:rsidR="00411931" w:rsidRPr="00A7318D" w:rsidRDefault="00411931" w:rsidP="00411931">
      <w:r w:rsidRPr="00A7318D">
        <w:t>All water mentioned in this section was</w:t>
      </w:r>
      <w:r w:rsidRPr="00A7318D">
        <w:t xml:space="preserve"> </w:t>
      </w:r>
      <w:r w:rsidRPr="00A7318D">
        <w:t>a</w:t>
      </w:r>
      <w:r w:rsidRPr="00A7318D">
        <w:t>rtificial lake water</w:t>
      </w:r>
      <w:r w:rsidRPr="00A7318D">
        <w:t>, u</w:t>
      </w:r>
      <w:r w:rsidRPr="00A7318D">
        <w:t>nless otherwise specified</w:t>
      </w:r>
      <w:r w:rsidRPr="00A7318D">
        <w:t>. The composition of the water was</w:t>
      </w:r>
      <w:r w:rsidRPr="00A7318D">
        <w:t xml:space="preserve"> loosely based on the chemical composition of lake Langer see surface water,</w:t>
      </w:r>
      <w:r w:rsidRPr="00A7318D">
        <w:t xml:space="preserve"> and made</w:t>
      </w:r>
      <w:r w:rsidRPr="00A7318D">
        <w:t xml:space="preserve"> </w:t>
      </w:r>
      <w:r w:rsidRPr="00A7318D">
        <w:t>from a</w:t>
      </w:r>
      <w:r w:rsidRPr="00A7318D">
        <w:t xml:space="preserve"> 1000</w:t>
      </w:r>
      <w:r w:rsidRPr="00A7318D">
        <w:rPr>
          <w:rFonts w:cstheme="minorHAnsi"/>
        </w:rPr>
        <w:t>×</w:t>
      </w:r>
      <w:r w:rsidRPr="00A7318D">
        <w:t xml:space="preserve"> dilution of a stock solution (MgCl</w:t>
      </w:r>
      <w:r w:rsidRPr="00A7318D">
        <w:rPr>
          <w:vertAlign w:val="subscript"/>
        </w:rPr>
        <w:t>2</w:t>
      </w:r>
      <w:r w:rsidRPr="00A7318D">
        <w:rPr>
          <w:rFonts w:cstheme="minorHAnsi"/>
        </w:rPr>
        <w:t>•</w:t>
      </w:r>
      <w:r w:rsidRPr="00A7318D">
        <w:t>6H</w:t>
      </w:r>
      <w:r w:rsidRPr="00A7318D">
        <w:rPr>
          <w:vertAlign w:val="subscript"/>
        </w:rPr>
        <w:t>2</w:t>
      </w:r>
      <w:r w:rsidRPr="00A7318D">
        <w:t>O: 81.386 g; CaCl</w:t>
      </w:r>
      <w:r w:rsidRPr="00A7318D">
        <w:rPr>
          <w:vertAlign w:val="subscript"/>
        </w:rPr>
        <w:t>3</w:t>
      </w:r>
      <w:r w:rsidRPr="00A7318D">
        <w:rPr>
          <w:rFonts w:cstheme="minorHAnsi"/>
        </w:rPr>
        <w:t>•</w:t>
      </w:r>
      <w:r w:rsidRPr="00A7318D">
        <w:t>2H</w:t>
      </w:r>
      <w:r w:rsidRPr="00A7318D">
        <w:rPr>
          <w:vertAlign w:val="subscript"/>
        </w:rPr>
        <w:t>2</w:t>
      </w:r>
      <w:r w:rsidRPr="00A7318D">
        <w:t>O: 125.030 g; KHCO</w:t>
      </w:r>
      <w:r w:rsidRPr="00A7318D">
        <w:rPr>
          <w:vertAlign w:val="subscript"/>
        </w:rPr>
        <w:t>3</w:t>
      </w:r>
      <w:r w:rsidRPr="00A7318D">
        <w:t>: 20.150 g; NaHCO</w:t>
      </w:r>
      <w:r w:rsidRPr="00A7318D">
        <w:rPr>
          <w:vertAlign w:val="subscript"/>
        </w:rPr>
        <w:t>3</w:t>
      </w:r>
      <w:r w:rsidRPr="00A7318D">
        <w:t xml:space="preserve">: 120.111 g) </w:t>
      </w:r>
      <w:r w:rsidRPr="00A7318D">
        <w:fldChar w:fldCharType="begin"/>
      </w:r>
      <w:r w:rsidRPr="00A7318D">
        <w:instrText xml:space="preserve"> ADDIN ZOTERO_ITEM CSL_CITATION {"citationID":"ptJ3164F","properties":{"formattedCitation":"(Smith et al., 2002)","plainCitation":"(Smith et al., 2002)","noteIndex":0},"citationItems":[{"id":308,"uris":["http://zotero.org/users/9036806/items/C9T5SBQZ"],"itemData":{"id":308,"type":"article-journal","abstract":"Synthetic solutions that emulate the major ion compositions of natural waters are useful in experiments aimed at understanding biogeochemical processes. Standard recipes exist for preparing synthetic analogues of seawater, with its relatively constant composition, but, due to the diversity of freshwaters, a range of compositions and recipes is required. Generic protocols are developed for preparing synthetic freshwaters of any desired composition. The major problems encountered in preparing hard and soft waters include dissolving sparingly soluble calcium carbonate, ensuring that the ionic components of each concentrated stock solution cannot form an insoluble salt and dealing with the supersaturation of calcium carbonate in many hard waters. For acidic waters the poor solubility of aluminium salts requires attention. These problems are overcome by preparing concentrated stock solutions according to carefully designed reaction paths that were tested using a combination of experiment and equilibrium modeling. These stock solutions must then be added in a prescribed order to prepare a final solution that is brought into equilibrium with the atmosphere. The example calculations for preparing hard, soft and acidic freshwater surrogates with major ion compositions the same as published analyses, are presented in a generalized fashion that should allow preparation of any synthetic freshwater according to its known analysis.","container-title":"Water Research","DOI":"10.1016/S0043-1354(01)00341-4","ISSN":"0043-1354","issue":"5","journalAbbreviation":"Water Research","language":"en","page":"1286-1296","source":"ScienceDirect","title":"Methods for preparing synthetic freshwaters","volume":"36","author":[{"family":"Smith","given":"E. J"},{"family":"Davison","given":"W"},{"family":"Hamilton-Taylor","given":"J"}],"issued":{"date-parts":[["2002",3,1]]}}}],"schema":"https://github.com/citation-style-language/schema/raw/master/csl-citation.json"} </w:instrText>
      </w:r>
      <w:r w:rsidRPr="00A7318D">
        <w:fldChar w:fldCharType="separate"/>
      </w:r>
      <w:r w:rsidRPr="00A7318D">
        <w:rPr>
          <w:rFonts w:ascii="Calibri" w:hAnsi="Calibri" w:cs="Calibri"/>
        </w:rPr>
        <w:t>(Smith et al., 2002)</w:t>
      </w:r>
      <w:r w:rsidRPr="00A7318D">
        <w:fldChar w:fldCharType="end"/>
      </w:r>
    </w:p>
    <w:p w14:paraId="2520F888" w14:textId="0FA469D2" w:rsidR="001E18DE" w:rsidRPr="00A7318D" w:rsidRDefault="00206151" w:rsidP="002E4E74">
      <w:r w:rsidRPr="00A7318D">
        <w:t>The treated and untreated s</w:t>
      </w:r>
      <w:r w:rsidR="002E4E74" w:rsidRPr="00A7318D">
        <w:t xml:space="preserve">ediments were </w:t>
      </w:r>
      <w:r w:rsidRPr="00A7318D">
        <w:t xml:space="preserve">distributed over 10 </w:t>
      </w:r>
      <w:r w:rsidR="00E918B5" w:rsidRPr="00A7318D">
        <w:t>tubes (6cm diameter</w:t>
      </w:r>
      <w:r w:rsidR="00411931" w:rsidRPr="00A7318D">
        <w:t>, 10cm height</w:t>
      </w:r>
      <w:r w:rsidR="00E918B5" w:rsidRPr="00A7318D">
        <w:t>)</w:t>
      </w:r>
      <w:r w:rsidRPr="00A7318D">
        <w:t xml:space="preserve"> as follows</w:t>
      </w:r>
      <w:r w:rsidR="001E18DE" w:rsidRPr="00A7318D">
        <w:t xml:space="preserve"> (Fig. 2</w:t>
      </w:r>
      <w:r w:rsidR="000B231D" w:rsidRPr="00A7318D">
        <w:t>A</w:t>
      </w:r>
      <w:r w:rsidR="001E18DE" w:rsidRPr="00A7318D">
        <w:t>)</w:t>
      </w:r>
      <w:r w:rsidRPr="00A7318D">
        <w:t xml:space="preserve">: </w:t>
      </w:r>
      <w:r w:rsidR="00E918B5" w:rsidRPr="00A7318D">
        <w:t xml:space="preserve">first, untreated sediment was filled up to a </w:t>
      </w:r>
      <w:r w:rsidR="00411931" w:rsidRPr="00A7318D">
        <w:t>height</w:t>
      </w:r>
      <w:r w:rsidR="00E918B5" w:rsidRPr="00A7318D">
        <w:t xml:space="preserve"> of 4cm above a movable rubber stopper, then 2 cm of treated sediment was carefully spooned on top of the first layer, and the rest of the tube</w:t>
      </w:r>
      <w:r w:rsidR="00411931" w:rsidRPr="00A7318D">
        <w:t xml:space="preserve"> was slowly filled with water</w:t>
      </w:r>
      <w:r w:rsidR="002E4E74" w:rsidRPr="00A7318D">
        <w:t>.</w:t>
      </w:r>
      <w:r w:rsidR="00411931" w:rsidRPr="00A7318D">
        <w:t xml:space="preserve"> The tubes were placed in two identical </w:t>
      </w:r>
      <w:r w:rsidR="00555E60" w:rsidRPr="00A7318D">
        <w:t>20L aquaria, 5 replicates in each aquarium, which were subsequently filled with 15L water.</w:t>
      </w:r>
      <w:r w:rsidR="002E4E74" w:rsidRPr="00A7318D">
        <w:t xml:space="preserve"> Overlying water </w:t>
      </w:r>
      <w:r w:rsidR="00555E60" w:rsidRPr="00A7318D">
        <w:t>in one aquarium was</w:t>
      </w:r>
      <w:r w:rsidR="002E4E74" w:rsidRPr="00A7318D">
        <w:t xml:space="preserve"> enriched with sulfate</w:t>
      </w:r>
      <w:r w:rsidR="00555E60" w:rsidRPr="00A7318D">
        <w:t xml:space="preserve"> (</w:t>
      </w:r>
      <w:r w:rsidR="00167CDC" w:rsidRPr="00A7318D">
        <w:t xml:space="preserve">added </w:t>
      </w:r>
      <w:r w:rsidR="00555E60" w:rsidRPr="00A7318D">
        <w:t>150 mL</w:t>
      </w:r>
      <w:r w:rsidR="00167CDC" w:rsidRPr="00A7318D">
        <w:t xml:space="preserve"> 0.1M NaSO</w:t>
      </w:r>
      <w:r w:rsidR="00167CDC" w:rsidRPr="00A7318D">
        <w:rPr>
          <w:vertAlign w:val="subscript"/>
        </w:rPr>
        <w:t>4</w:t>
      </w:r>
      <w:r w:rsidR="00975AD0" w:rsidRPr="00A7318D">
        <w:t xml:space="preserve"> in Millipore water</w:t>
      </w:r>
      <w:r w:rsidR="00167CDC" w:rsidRPr="00A7318D">
        <w:t>; target concentration 1mM sulfate)</w:t>
      </w:r>
      <w:r w:rsidR="002E4E74" w:rsidRPr="00A7318D">
        <w:t>, simulating high sulfidic conditions</w:t>
      </w:r>
      <w:r w:rsidR="00167CDC" w:rsidRPr="00A7318D">
        <w:t>, while the other aquarium served as control without added sulfate</w:t>
      </w:r>
      <w:r w:rsidR="002E4E74" w:rsidRPr="00A7318D">
        <w:t>.</w:t>
      </w:r>
      <w:r w:rsidR="001E18DE" w:rsidRPr="00A7318D">
        <w:t xml:space="preserve"> The water was kept aerated and flowing by a gentle stream of air produced by aquarium pumps, ensuring a homogeneous water body without disturbing the sediment surface. </w:t>
      </w:r>
    </w:p>
    <w:p w14:paraId="6118ABF2" w14:textId="5C566499" w:rsidR="009F15F5" w:rsidRPr="00A7318D" w:rsidRDefault="001E18DE" w:rsidP="002E4E74">
      <w:r w:rsidRPr="00A7318D">
        <w:t>The next day, when</w:t>
      </w:r>
      <w:r w:rsidR="00167CDC" w:rsidRPr="00A7318D">
        <w:t xml:space="preserve"> </w:t>
      </w:r>
      <w:r w:rsidRPr="00A7318D">
        <w:t xml:space="preserve">the </w:t>
      </w:r>
      <w:r w:rsidR="00167CDC" w:rsidRPr="00A7318D">
        <w:t>sediment</w:t>
      </w:r>
      <w:r w:rsidRPr="00A7318D">
        <w:t xml:space="preserve"> had settled in the tubes, the bottom the sediment was carefully pushed up to 0.5cm below the </w:t>
      </w:r>
      <w:r w:rsidR="009F4411" w:rsidRPr="00A7318D">
        <w:t>upper rim, for better water flow above the sediment and easier access for in-situ porewater analysis</w:t>
      </w:r>
      <w:r w:rsidR="00D7102E" w:rsidRPr="00A7318D">
        <w:t xml:space="preserve"> directly afte</w:t>
      </w:r>
      <w:r w:rsidR="00F754ED" w:rsidRPr="00A7318D">
        <w:t>r</w:t>
      </w:r>
      <w:r w:rsidR="009F4411" w:rsidRPr="00A7318D">
        <w:t>.</w:t>
      </w:r>
      <w:r w:rsidR="00F754ED" w:rsidRPr="00A7318D">
        <w:t xml:space="preserve"> Finally,</w:t>
      </w:r>
      <w:r w:rsidR="009F15F5" w:rsidRPr="00A7318D">
        <w:t xml:space="preserve"> </w:t>
      </w:r>
      <w:r w:rsidR="00F754ED" w:rsidRPr="00A7318D">
        <w:t>d</w:t>
      </w:r>
      <w:r w:rsidR="009F15F5" w:rsidRPr="00A7318D">
        <w:t xml:space="preserve">iffusive gradient in </w:t>
      </w:r>
      <w:proofErr w:type="spellStart"/>
      <w:r w:rsidR="009F15F5" w:rsidRPr="00A7318D">
        <w:t>thinfilm</w:t>
      </w:r>
      <w:proofErr w:type="spellEnd"/>
      <w:r w:rsidR="009F15F5" w:rsidRPr="00A7318D">
        <w:t xml:space="preserve"> (DGT</w:t>
      </w:r>
      <w:r w:rsidR="002F119A" w:rsidRPr="00A7318D">
        <w:t xml:space="preserve">; </w:t>
      </w:r>
      <w:r w:rsidR="00D7102E" w:rsidRPr="00A7318D">
        <w:t>LSPX-NP</w:t>
      </w:r>
      <w:r w:rsidR="002F119A" w:rsidRPr="00A7318D">
        <w:t>, DGT</w:t>
      </w:r>
      <w:r w:rsidR="00D7102E" w:rsidRPr="00A7318D">
        <w:rPr>
          <w:rFonts w:cstheme="minorHAnsi"/>
        </w:rPr>
        <w:t>®</w:t>
      </w:r>
      <w:r w:rsidR="002F119A" w:rsidRPr="00A7318D">
        <w:t xml:space="preserve"> research) for capturing Fe and P were inserted </w:t>
      </w:r>
      <w:r w:rsidR="009F15F5" w:rsidRPr="00A7318D">
        <w:t xml:space="preserve">in 4 of </w:t>
      </w:r>
      <w:r w:rsidR="002F119A" w:rsidRPr="00A7318D">
        <w:t>the</w:t>
      </w:r>
      <w:r w:rsidR="009F15F5" w:rsidRPr="00A7318D">
        <w:t xml:space="preserve"> replicate tube</w:t>
      </w:r>
      <w:r w:rsidR="002F119A" w:rsidRPr="00A7318D">
        <w:t>s</w:t>
      </w:r>
      <w:r w:rsidR="009F15F5" w:rsidRPr="00A7318D">
        <w:t xml:space="preserve"> in</w:t>
      </w:r>
      <w:r w:rsidR="002F119A" w:rsidRPr="00A7318D">
        <w:t xml:space="preserve"> each aquarium, leaving </w:t>
      </w:r>
      <w:r w:rsidR="00CC2AC9" w:rsidRPr="00A7318D">
        <w:t xml:space="preserve">the fifth </w:t>
      </w:r>
      <w:r w:rsidR="00CC2AC9" w:rsidRPr="00A7318D">
        <w:t>sediment tube</w:t>
      </w:r>
      <w:r w:rsidR="002F119A" w:rsidRPr="00A7318D">
        <w:t xml:space="preserve"> undisturbed.</w:t>
      </w:r>
    </w:p>
    <w:p w14:paraId="28FB9ADF" w14:textId="5507079A" w:rsidR="001D7BE3" w:rsidRPr="00A7318D" w:rsidRDefault="002E4E74" w:rsidP="002E4E74">
      <w:r w:rsidRPr="00A7318D">
        <w:t>The</w:t>
      </w:r>
      <w:r w:rsidR="00F754ED" w:rsidRPr="00A7318D">
        <w:t xml:space="preserve"> tubes were left</w:t>
      </w:r>
      <w:r w:rsidR="009F15F5" w:rsidRPr="00A7318D">
        <w:t xml:space="preserve"> incubati</w:t>
      </w:r>
      <w:r w:rsidR="001D7BE3" w:rsidRPr="00A7318D">
        <w:t xml:space="preserve">ng </w:t>
      </w:r>
      <w:r w:rsidRPr="00A7318D">
        <w:t xml:space="preserve">over a period of </w:t>
      </w:r>
      <w:r w:rsidR="009F4411" w:rsidRPr="00A7318D">
        <w:t>98 days</w:t>
      </w:r>
      <w:r w:rsidR="002F119A" w:rsidRPr="00A7318D">
        <w:t xml:space="preserve"> within a climate chamber of ? </w:t>
      </w:r>
      <w:r w:rsidR="001D7BE3" w:rsidRPr="00A7318D">
        <w:t>°C</w:t>
      </w:r>
      <w:r w:rsidR="00764E3B" w:rsidRPr="00A7318D">
        <w:t>, under mostly dark conditions</w:t>
      </w:r>
      <w:r w:rsidR="008D51FA" w:rsidRPr="00A7318D">
        <w:t xml:space="preserve"> to prevent primary production in the water body</w:t>
      </w:r>
      <w:r w:rsidR="009F15F5" w:rsidRPr="00A7318D">
        <w:t>.</w:t>
      </w:r>
      <w:r w:rsidR="009F4411" w:rsidRPr="00A7318D">
        <w:t xml:space="preserve"> </w:t>
      </w:r>
      <w:r w:rsidR="002F119A" w:rsidRPr="00A7318D">
        <w:t>After</w:t>
      </w:r>
      <w:r w:rsidR="00CC2AC9" w:rsidRPr="00A7318D">
        <w:t xml:space="preserve"> respectively </w:t>
      </w:r>
      <w:r w:rsidR="002F119A" w:rsidRPr="00A7318D">
        <w:t>20</w:t>
      </w:r>
      <w:r w:rsidR="00F754ED" w:rsidRPr="00A7318D">
        <w:t xml:space="preserve"> and</w:t>
      </w:r>
      <w:r w:rsidR="00CC2AC9" w:rsidRPr="00A7318D">
        <w:t xml:space="preserve"> 62 </w:t>
      </w:r>
      <w:r w:rsidR="00CC2AC9" w:rsidRPr="00A7318D">
        <w:lastRenderedPageBreak/>
        <w:t>days, progress was monitored by porewater analysis, and the subsequent sacrifice of one sediment tube</w:t>
      </w:r>
      <w:r w:rsidR="001D7BE3" w:rsidRPr="00A7318D">
        <w:t xml:space="preserve"> with DGT</w:t>
      </w:r>
      <w:r w:rsidR="00CC2AC9" w:rsidRPr="00A7318D">
        <w:t xml:space="preserve"> per treatment. At the end of the experiment,</w:t>
      </w:r>
      <w:r w:rsidR="001D7BE3" w:rsidRPr="00A7318D">
        <w:t xml:space="preserve"> the porewater was again analyzed, and</w:t>
      </w:r>
      <w:r w:rsidR="00CC2AC9" w:rsidRPr="00A7318D">
        <w:t xml:space="preserve"> the final </w:t>
      </w:r>
      <w:r w:rsidR="001D7BE3" w:rsidRPr="00A7318D">
        <w:t>2</w:t>
      </w:r>
      <w:r w:rsidR="001D7BE3" w:rsidRPr="00A7318D">
        <w:rPr>
          <w:rFonts w:cstheme="minorHAnsi"/>
        </w:rPr>
        <w:t>×</w:t>
      </w:r>
      <w:r w:rsidR="001D7BE3" w:rsidRPr="00A7318D">
        <w:t>3</w:t>
      </w:r>
      <w:r w:rsidR="00CC2AC9" w:rsidRPr="00A7318D">
        <w:t xml:space="preserve"> </w:t>
      </w:r>
      <w:r w:rsidR="001D7BE3" w:rsidRPr="00A7318D">
        <w:t>tubes were processed.</w:t>
      </w:r>
      <w:r w:rsidR="00CC2AC9" w:rsidRPr="00A7318D">
        <w:t xml:space="preserve"> </w:t>
      </w:r>
    </w:p>
    <w:p w14:paraId="631C49C6" w14:textId="77777777" w:rsidR="00946EDA" w:rsidRPr="00A7318D" w:rsidRDefault="002E4E74" w:rsidP="00946EDA">
      <w:pPr>
        <w:pStyle w:val="Heading2"/>
        <w:rPr>
          <w:lang w:val="en-US"/>
        </w:rPr>
      </w:pPr>
      <w:r w:rsidRPr="00A7318D">
        <w:rPr>
          <w:rStyle w:val="Heading2Char"/>
          <w:lang w:val="en-US"/>
        </w:rPr>
        <w:t>Microsensor and D</w:t>
      </w:r>
      <w:r w:rsidR="00983ED0" w:rsidRPr="00A7318D">
        <w:rPr>
          <w:rStyle w:val="Heading2Char"/>
          <w:lang w:val="en-US"/>
        </w:rPr>
        <w:t>G</w:t>
      </w:r>
      <w:r w:rsidRPr="00A7318D">
        <w:rPr>
          <w:rStyle w:val="Heading2Char"/>
          <w:lang w:val="en-US"/>
        </w:rPr>
        <w:t>T Profiling</w:t>
      </w:r>
      <w:r w:rsidRPr="00A7318D">
        <w:rPr>
          <w:lang w:val="en-US"/>
        </w:rPr>
        <w:t xml:space="preserve"> </w:t>
      </w:r>
    </w:p>
    <w:p w14:paraId="08980E39" w14:textId="1AA3D7FF" w:rsidR="001D7BE3" w:rsidRPr="00A7318D" w:rsidRDefault="002E4E74" w:rsidP="002E4E74">
      <w:r w:rsidRPr="00A7318D">
        <w:t>Porewater conditions were monitored using microsensors capable of measuring oxygen</w:t>
      </w:r>
      <w:r w:rsidR="001D2713">
        <w:t xml:space="preserve"> (O</w:t>
      </w:r>
      <w:r w:rsidR="001D2713">
        <w:rPr>
          <w:vertAlign w:val="subscript"/>
        </w:rPr>
        <w:t>2</w:t>
      </w:r>
      <w:r w:rsidR="001D2713">
        <w:t>)</w:t>
      </w:r>
      <w:r w:rsidRPr="00A7318D">
        <w:t xml:space="preserve">, </w:t>
      </w:r>
      <w:r w:rsidR="00983ED0" w:rsidRPr="00A7318D">
        <w:t xml:space="preserve">hydrogen </w:t>
      </w:r>
      <w:r w:rsidRPr="00A7318D">
        <w:t>sulfide</w:t>
      </w:r>
      <w:r w:rsidR="001D2713">
        <w:t xml:space="preserve"> (H</w:t>
      </w:r>
      <w:r w:rsidR="001D2713">
        <w:rPr>
          <w:vertAlign w:val="subscript"/>
        </w:rPr>
        <w:t>2</w:t>
      </w:r>
      <w:r w:rsidR="001D2713">
        <w:t>S)</w:t>
      </w:r>
      <w:r w:rsidRPr="00A7318D">
        <w:t xml:space="preserve">, and pH levels at </w:t>
      </w:r>
      <w:r w:rsidR="00983ED0" w:rsidRPr="00A7318D">
        <w:t>micro</w:t>
      </w:r>
      <w:r w:rsidRPr="00A7318D">
        <w:t xml:space="preserve"> resolution</w:t>
      </w:r>
      <w:r w:rsidR="00983ED0" w:rsidRPr="00A7318D">
        <w:t xml:space="preserve"> (UNISENSE; O2, SULF, pH).</w:t>
      </w:r>
      <w:r w:rsidRPr="00A7318D">
        <w:t xml:space="preserve"> </w:t>
      </w:r>
      <w:r w:rsidR="00764E3B" w:rsidRPr="00A7318D">
        <w:t>The sensor tips were position</w:t>
      </w:r>
      <w:r w:rsidR="008D51FA" w:rsidRPr="00A7318D">
        <w:t>ed</w:t>
      </w:r>
      <w:r w:rsidR="00764E3B" w:rsidRPr="00A7318D">
        <w:t xml:space="preserve"> o</w:t>
      </w:r>
      <w:r w:rsidR="008D51FA" w:rsidRPr="00A7318D">
        <w:t>n</w:t>
      </w:r>
      <w:r w:rsidR="00764E3B" w:rsidRPr="00A7318D">
        <w:t xml:space="preserve"> the sediment-water interface </w:t>
      </w:r>
      <w:r w:rsidR="008D51FA" w:rsidRPr="00A7318D">
        <w:t>with help of a stereoscope, and moved to a different position on the sediment after each profile. Profiles were taken by measuring</w:t>
      </w:r>
      <w:r w:rsidR="00975AD0" w:rsidRPr="00A7318D">
        <w:t xml:space="preserve"> the concentration at increasing depth from 1cm above to max 4 cm below the sediment with intervals of 250</w:t>
      </w:r>
      <w:r w:rsidR="00975AD0" w:rsidRPr="00A7318D">
        <w:rPr>
          <w:rFonts w:cstheme="minorHAnsi"/>
        </w:rPr>
        <w:t>µ</w:t>
      </w:r>
      <w:r w:rsidR="00975AD0" w:rsidRPr="00A7318D">
        <w:t xml:space="preserve">m, measuring each interval for 2s after 2s </w:t>
      </w:r>
      <w:r w:rsidR="00975AD0" w:rsidRPr="00A7318D">
        <w:t>equilibrium</w:t>
      </w:r>
      <w:r w:rsidR="00975AD0" w:rsidRPr="00A7318D">
        <w:t xml:space="preserve"> waiting time.</w:t>
      </w:r>
    </w:p>
    <w:p w14:paraId="31469C62" w14:textId="05B7356E" w:rsidR="002E4E74" w:rsidRPr="00A7318D" w:rsidRDefault="001D7BE3" w:rsidP="002E4E74">
      <w:r w:rsidRPr="00A7318D">
        <w:t>DGT</w:t>
      </w:r>
      <w:r w:rsidR="002E4E74" w:rsidRPr="00A7318D">
        <w:t xml:space="preserve"> probes were employed to capture porewater </w:t>
      </w:r>
      <w:r w:rsidR="00983ED0" w:rsidRPr="00A7318D">
        <w:t>release</w:t>
      </w:r>
      <w:r w:rsidR="002E4E74" w:rsidRPr="00A7318D">
        <w:t xml:space="preserve"> of </w:t>
      </w:r>
      <w:r w:rsidR="00764E3B" w:rsidRPr="00A7318D">
        <w:t xml:space="preserve">P and Fe, by accumulation of both species in a mixed </w:t>
      </w:r>
      <w:proofErr w:type="spellStart"/>
      <w:r w:rsidR="00764E3B" w:rsidRPr="00A7318D">
        <w:t>chelex</w:t>
      </w:r>
      <w:proofErr w:type="spellEnd"/>
      <w:r w:rsidR="00764E3B" w:rsidRPr="00A7318D">
        <w:t>/titanium oxide binding layer</w:t>
      </w:r>
      <w:r w:rsidRPr="00A7318D">
        <w:t xml:space="preserve">. The probes where handled and processed following the guidelines of the manufacturer </w:t>
      </w:r>
      <w:r w:rsidR="00983ED0" w:rsidRPr="00A7318D">
        <w:t>(DGT</w:t>
      </w:r>
      <w:r w:rsidR="00983ED0" w:rsidRPr="00A7318D">
        <w:rPr>
          <w:rFonts w:cstheme="minorHAnsi"/>
        </w:rPr>
        <w:t>®</w:t>
      </w:r>
      <w:r w:rsidR="00983ED0" w:rsidRPr="00A7318D">
        <w:t xml:space="preserve"> research)</w:t>
      </w:r>
      <w:r w:rsidR="002E4E74" w:rsidRPr="00A7318D">
        <w:t>.</w:t>
      </w:r>
      <w:r w:rsidR="000B231D" w:rsidRPr="00A7318D">
        <w:t xml:space="preserve"> All probes were placed upright in the sediment at the beginning of the experiment (Fig. 2B), and retrieved at different timepoints.</w:t>
      </w:r>
      <w:r w:rsidR="00983ED0" w:rsidRPr="00A7318D">
        <w:t xml:space="preserve"> </w:t>
      </w:r>
      <w:r w:rsidR="00975AD0" w:rsidRPr="00A7318D">
        <w:t>After</w:t>
      </w:r>
      <w:r w:rsidR="000B231D" w:rsidRPr="00A7318D">
        <w:t xml:space="preserve"> retrieving</w:t>
      </w:r>
      <w:r w:rsidR="00975AD0" w:rsidRPr="00A7318D">
        <w:t xml:space="preserve"> t</w:t>
      </w:r>
      <w:r w:rsidR="00983ED0" w:rsidRPr="00A7318D">
        <w:t>he DGTs</w:t>
      </w:r>
      <w:r w:rsidR="000B231D" w:rsidRPr="00A7318D">
        <w:t xml:space="preserve"> from the sediment, they</w:t>
      </w:r>
      <w:r w:rsidR="00983ED0" w:rsidRPr="00A7318D">
        <w:t xml:space="preserve"> were </w:t>
      </w:r>
      <w:r w:rsidR="000B231D" w:rsidRPr="00A7318D">
        <w:t xml:space="preserve">rinsed and </w:t>
      </w:r>
      <w:r w:rsidR="00983ED0" w:rsidRPr="00A7318D">
        <w:t>sliced in 0.5cm intervals before processing</w:t>
      </w:r>
      <w:r w:rsidR="00C8240B" w:rsidRPr="00A7318D">
        <w:t xml:space="preserve"> the gel</w:t>
      </w:r>
      <w:r w:rsidR="00983ED0" w:rsidRPr="00A7318D">
        <w:t xml:space="preserve"> </w:t>
      </w:r>
      <w:r w:rsidR="00C8240B" w:rsidRPr="00A7318D">
        <w:t>by soaking in 1M HNO</w:t>
      </w:r>
      <w:r w:rsidR="00C8240B" w:rsidRPr="00A7318D">
        <w:rPr>
          <w:vertAlign w:val="subscript"/>
        </w:rPr>
        <w:t>3</w:t>
      </w:r>
      <w:r w:rsidR="00C8240B" w:rsidRPr="00A7318D">
        <w:t xml:space="preserve"> and 1M NaOH, respectively. The NaOH extracts were measured for P, while the final timestep was also measured for Fe content by analyzing the HNO</w:t>
      </w:r>
      <w:r w:rsidR="00C8240B" w:rsidRPr="00A7318D">
        <w:rPr>
          <w:vertAlign w:val="subscript"/>
        </w:rPr>
        <w:t xml:space="preserve">3 </w:t>
      </w:r>
      <w:r w:rsidR="00C8240B" w:rsidRPr="00A7318D">
        <w:t>extract</w:t>
      </w:r>
      <w:r w:rsidR="008B3FB0">
        <w:t>.</w:t>
      </w:r>
    </w:p>
    <w:p w14:paraId="24DD3A6D" w14:textId="7C1D34D9" w:rsidR="0001585B" w:rsidRPr="00A7318D" w:rsidRDefault="002E4E74" w:rsidP="00946EDA">
      <w:pPr>
        <w:pStyle w:val="Heading2"/>
        <w:rPr>
          <w:lang w:val="en-US"/>
        </w:rPr>
      </w:pPr>
      <w:r w:rsidRPr="00A7318D">
        <w:rPr>
          <w:rStyle w:val="Heading2Char"/>
          <w:lang w:val="en-US"/>
        </w:rPr>
        <w:t>S</w:t>
      </w:r>
      <w:r w:rsidR="002C4C7B" w:rsidRPr="00A7318D">
        <w:rPr>
          <w:rStyle w:val="Heading2Char"/>
          <w:lang w:val="en-US"/>
        </w:rPr>
        <w:t>ediment</w:t>
      </w:r>
      <w:r w:rsidRPr="00A7318D">
        <w:rPr>
          <w:rStyle w:val="Heading2Char"/>
          <w:lang w:val="en-US"/>
        </w:rPr>
        <w:t xml:space="preserve"> Processing </w:t>
      </w:r>
    </w:p>
    <w:p w14:paraId="0E751D79" w14:textId="302A8FE3" w:rsidR="002C4C7B" w:rsidRPr="00A7318D" w:rsidRDefault="0001585B" w:rsidP="002C4C7B">
      <w:r w:rsidRPr="00A7318D">
        <w:t>S</w:t>
      </w:r>
      <w:r w:rsidR="002E4E74" w:rsidRPr="00A7318D">
        <w:t>ediment</w:t>
      </w:r>
      <w:r w:rsidRPr="00A7318D">
        <w:t xml:space="preserve"> at different timesteps</w:t>
      </w:r>
      <w:r w:rsidR="002E4E74" w:rsidRPr="00A7318D">
        <w:t xml:space="preserve"> w</w:t>
      </w:r>
      <w:r w:rsidRPr="00A7318D">
        <w:t>as</w:t>
      </w:r>
      <w:r w:rsidR="002E4E74" w:rsidRPr="00A7318D">
        <w:t xml:space="preserve"> processed for detailed solid phase analysis. </w:t>
      </w:r>
      <w:r w:rsidRPr="00A7318D">
        <w:t>The sediment</w:t>
      </w:r>
      <w:r w:rsidRPr="00A7318D">
        <w:t xml:space="preserve"> from the tubes</w:t>
      </w:r>
      <w:r w:rsidRPr="00A7318D">
        <w:t xml:space="preserve"> </w:t>
      </w:r>
      <w:r w:rsidRPr="00A7318D">
        <w:t xml:space="preserve">was sliced </w:t>
      </w:r>
      <w:r w:rsidRPr="00A7318D">
        <w:t xml:space="preserve"> in 0.6cm intervals and </w:t>
      </w:r>
      <w:r w:rsidR="004E094F" w:rsidRPr="00A7318D">
        <w:t>collected in 50mL falcon tubes</w:t>
      </w:r>
      <w:r w:rsidR="002C4C7B" w:rsidRPr="00A7318D">
        <w:t xml:space="preserve"> and homogenized</w:t>
      </w:r>
      <w:r w:rsidR="004E094F" w:rsidRPr="00A7318D">
        <w:t xml:space="preserve">. Sediment </w:t>
      </w:r>
      <w:r w:rsidR="0009143F" w:rsidRPr="00A7318D">
        <w:t xml:space="preserve">slices as well as the starting treated and untreated sediments were preserved by freezing at -20 </w:t>
      </w:r>
      <w:r w:rsidR="0009143F" w:rsidRPr="00A7318D">
        <w:t>°C</w:t>
      </w:r>
      <w:r w:rsidR="0009143F" w:rsidRPr="00A7318D">
        <w:t xml:space="preserve"> for less </w:t>
      </w:r>
      <w:r w:rsidR="00A7318D" w:rsidRPr="00A7318D">
        <w:t>than</w:t>
      </w:r>
      <w:r w:rsidR="0009143F" w:rsidRPr="00A7318D">
        <w:t xml:space="preserve"> a month before further processing. The sediment was thawed before</w:t>
      </w:r>
      <w:r w:rsidR="003C17D7" w:rsidRPr="00A7318D">
        <w:t xml:space="preserve"> subsampling for</w:t>
      </w:r>
      <w:r w:rsidR="0009143F" w:rsidRPr="00A7318D">
        <w:t xml:space="preserve"> analysis by sequential extraction</w:t>
      </w:r>
      <w:r w:rsidR="003C17D7" w:rsidRPr="00A7318D">
        <w:t xml:space="preserve">, and immediately refrozen. The </w:t>
      </w:r>
      <w:r w:rsidRPr="00A7318D">
        <w:t>final sediment samples</w:t>
      </w:r>
      <w:r w:rsidR="003C17D7" w:rsidRPr="00A7318D">
        <w:t xml:space="preserve"> were</w:t>
      </w:r>
      <w:r w:rsidRPr="00A7318D">
        <w:t xml:space="preserve"> preserved by freeze-drying for subsequent analysis</w:t>
      </w:r>
      <w:r w:rsidR="003C17D7" w:rsidRPr="00A7318D">
        <w:t xml:space="preserve"> by </w:t>
      </w:r>
      <w:r w:rsidR="002E4E74" w:rsidRPr="00A7318D">
        <w:t>X-ray Diffraction (XRD)</w:t>
      </w:r>
      <w:r w:rsidR="002C4C7B" w:rsidRPr="00A7318D">
        <w:t xml:space="preserve"> and scanning electron microscopy (SEM)</w:t>
      </w:r>
      <w:r w:rsidR="002E4E74" w:rsidRPr="00A7318D">
        <w:t xml:space="preserve">. </w:t>
      </w:r>
      <w:r w:rsidR="008E1941" w:rsidRPr="00A7318D">
        <w:t xml:space="preserve">Total P, Fe and other </w:t>
      </w:r>
      <w:r w:rsidR="006D7F55">
        <w:t xml:space="preserve">relevant </w:t>
      </w:r>
      <w:r w:rsidR="008E1941" w:rsidRPr="00A7318D">
        <w:t>metals</w:t>
      </w:r>
      <w:r w:rsidR="006D7F55">
        <w:t xml:space="preserve"> such as magnesium (Mg), manganese (Mn) and calcium (Ca)</w:t>
      </w:r>
      <w:r w:rsidR="008E1941" w:rsidRPr="00A7318D">
        <w:t xml:space="preserve"> were determined by digesting a subsample (</w:t>
      </w:r>
      <w:r w:rsidR="00A7318D" w:rsidRPr="00A7318D">
        <w:t xml:space="preserve">50-100mg) </w:t>
      </w:r>
      <w:r w:rsidR="00A7318D">
        <w:t>in a 1:3 vol/vol mixture of</w:t>
      </w:r>
      <w:r w:rsidR="00E9025C">
        <w:t xml:space="preserve"> concentrated</w:t>
      </w:r>
      <w:r w:rsidR="00A7318D">
        <w:t xml:space="preserve"> HCl and HNO</w:t>
      </w:r>
      <w:r w:rsidR="00A7318D">
        <w:rPr>
          <w:vertAlign w:val="subscript"/>
        </w:rPr>
        <w:t>3</w:t>
      </w:r>
      <w:r w:rsidR="00A7318D">
        <w:t xml:space="preserve">, and </w:t>
      </w:r>
      <w:r w:rsidR="008B3FB0">
        <w:t>analyzing the digestate</w:t>
      </w:r>
      <w:r w:rsidR="00A7318D">
        <w:t>.</w:t>
      </w:r>
    </w:p>
    <w:p w14:paraId="0FDF54B6" w14:textId="31FB3D8D" w:rsidR="00946EDA" w:rsidRPr="00A7318D" w:rsidRDefault="002E4E74" w:rsidP="002C4C7B">
      <w:pPr>
        <w:pStyle w:val="Heading2"/>
        <w:rPr>
          <w:lang w:val="en-US"/>
        </w:rPr>
      </w:pPr>
      <w:r w:rsidRPr="00A7318D">
        <w:rPr>
          <w:rStyle w:val="Heading2Char"/>
          <w:lang w:val="en-US"/>
        </w:rPr>
        <w:t>Analytical Methods</w:t>
      </w:r>
      <w:r w:rsidRPr="00A7318D">
        <w:rPr>
          <w:lang w:val="en-US"/>
        </w:rPr>
        <w:t xml:space="preserve"> </w:t>
      </w:r>
    </w:p>
    <w:p w14:paraId="588BC5A0" w14:textId="33E0A9A3" w:rsidR="002C4C7B" w:rsidRDefault="002C4C7B" w:rsidP="002C4C7B">
      <w:pPr>
        <w:pStyle w:val="Heading3"/>
        <w:rPr>
          <w:lang w:val="en-US"/>
        </w:rPr>
      </w:pPr>
      <w:r w:rsidRPr="00A7318D">
        <w:rPr>
          <w:lang w:val="en-US"/>
        </w:rPr>
        <w:t>P Sequential extraction</w:t>
      </w:r>
    </w:p>
    <w:p w14:paraId="6AA63A45" w14:textId="77777777" w:rsidR="00E9025C" w:rsidRPr="00E9025C" w:rsidRDefault="00E9025C" w:rsidP="00E9025C"/>
    <w:p w14:paraId="2D7E9B95" w14:textId="5CD5F30C" w:rsidR="002C4C7B" w:rsidRDefault="00E9025C" w:rsidP="00E9025C">
      <w:pPr>
        <w:pStyle w:val="Heading3"/>
      </w:pPr>
      <w:r>
        <w:t xml:space="preserve">Scanning </w:t>
      </w:r>
      <w:proofErr w:type="spellStart"/>
      <w:r>
        <w:t>Electron</w:t>
      </w:r>
      <w:proofErr w:type="spellEnd"/>
      <w:r>
        <w:t xml:space="preserve"> </w:t>
      </w:r>
      <w:proofErr w:type="spellStart"/>
      <w:r>
        <w:t>Microscopy</w:t>
      </w:r>
      <w:proofErr w:type="spellEnd"/>
    </w:p>
    <w:p w14:paraId="412B722D" w14:textId="77777777" w:rsidR="00E9025C" w:rsidRPr="00E9025C" w:rsidRDefault="00E9025C" w:rsidP="00E9025C">
      <w:pPr>
        <w:rPr>
          <w:lang w:val="nl-NL"/>
        </w:rPr>
      </w:pPr>
    </w:p>
    <w:p w14:paraId="015F173B" w14:textId="165EF4E0" w:rsidR="002C4C7B" w:rsidRPr="00A7318D" w:rsidRDefault="008E1941" w:rsidP="008E1941">
      <w:pPr>
        <w:pStyle w:val="Heading3"/>
        <w:rPr>
          <w:lang w:val="en-US"/>
        </w:rPr>
      </w:pPr>
      <w:r w:rsidRPr="00A7318D">
        <w:rPr>
          <w:lang w:val="en-US"/>
        </w:rPr>
        <w:t>X-ray diffraction</w:t>
      </w:r>
    </w:p>
    <w:p w14:paraId="123588CE" w14:textId="77777777" w:rsidR="008E1941" w:rsidRPr="00A7318D" w:rsidRDefault="008E1941" w:rsidP="008E1941"/>
    <w:p w14:paraId="3EEE13DC" w14:textId="38831A60" w:rsidR="008E1941" w:rsidRPr="00A7318D" w:rsidRDefault="008E1941" w:rsidP="008E1941">
      <w:pPr>
        <w:pStyle w:val="Heading3"/>
        <w:rPr>
          <w:lang w:val="en-US"/>
        </w:rPr>
      </w:pPr>
      <w:r w:rsidRPr="00A7318D">
        <w:rPr>
          <w:lang w:val="en-US"/>
        </w:rPr>
        <w:t>Spectroscopic methods</w:t>
      </w:r>
    </w:p>
    <w:p w14:paraId="6306CFED" w14:textId="190162F8" w:rsidR="002E4E74" w:rsidRPr="001D2713" w:rsidRDefault="00E9025C" w:rsidP="008E1941">
      <w:r>
        <w:t>Soluble reactive p</w:t>
      </w:r>
      <w:r w:rsidR="002E4E74" w:rsidRPr="00A7318D">
        <w:t>hosphorus</w:t>
      </w:r>
      <w:r>
        <w:t xml:space="preserve"> (SRP)</w:t>
      </w:r>
      <w:r w:rsidR="002E4E74" w:rsidRPr="00A7318D">
        <w:t xml:space="preserve"> was quantified</w:t>
      </w:r>
      <w:r w:rsidR="001B67CC">
        <w:t xml:space="preserve"> photometrically </w:t>
      </w:r>
      <w:r w:rsidR="001B67CC">
        <w:t>at 880nm</w:t>
      </w:r>
      <w:r w:rsidR="002E4E74" w:rsidRPr="00A7318D">
        <w:t xml:space="preserve"> using the</w:t>
      </w:r>
      <w:r w:rsidR="001B67CC">
        <w:t xml:space="preserve"> </w:t>
      </w:r>
      <w:r w:rsidR="002E4E74" w:rsidRPr="00A7318D">
        <w:t>molybdenum blue method</w:t>
      </w:r>
      <w:r w:rsidR="001B67CC" w:rsidRPr="00A7318D">
        <w:t xml:space="preserve">, </w:t>
      </w:r>
      <w:r w:rsidR="001B67CC">
        <w:t>the extracts of the sequential extraction were measured in 1cm cuvettes on a ? spectrophotometer, while the DGT extracts were measured for P using ? well microplate photometry.</w:t>
      </w:r>
      <w:r w:rsidR="003E57B4">
        <w:t xml:space="preserve"> Total phosphorus in the extracts were measured the same way after digesting </w:t>
      </w:r>
      <w:r w:rsidR="001D2713">
        <w:t>4mL of</w:t>
      </w:r>
      <w:r w:rsidR="003E57B4">
        <w:t xml:space="preserve"> extract with </w:t>
      </w:r>
      <w:r w:rsidR="001D2713">
        <w:t xml:space="preserve">1mL 5 </w:t>
      </w:r>
      <w:proofErr w:type="spellStart"/>
      <w:r w:rsidR="001D2713">
        <w:t>wt</w:t>
      </w:r>
      <w:proofErr w:type="spellEnd"/>
      <w:r w:rsidR="001D2713">
        <w:t>% K</w:t>
      </w:r>
      <w:r w:rsidR="001D2713">
        <w:rPr>
          <w:vertAlign w:val="subscript"/>
        </w:rPr>
        <w:t>2</w:t>
      </w:r>
      <w:r w:rsidR="001D2713">
        <w:t>S</w:t>
      </w:r>
      <w:r w:rsidR="001D2713">
        <w:rPr>
          <w:vertAlign w:val="subscript"/>
        </w:rPr>
        <w:t>6</w:t>
      </w:r>
      <w:r w:rsidR="001D2713">
        <w:t>O</w:t>
      </w:r>
      <w:r w:rsidR="001D2713">
        <w:rPr>
          <w:vertAlign w:val="subscript"/>
        </w:rPr>
        <w:t>8</w:t>
      </w:r>
      <w:r w:rsidR="001D2713">
        <w:t>.</w:t>
      </w:r>
    </w:p>
    <w:p w14:paraId="348D28E6" w14:textId="492899FE" w:rsidR="008B3FB0" w:rsidRPr="00A7318D" w:rsidRDefault="008B3FB0" w:rsidP="008E1941">
      <w:r>
        <w:lastRenderedPageBreak/>
        <w:t xml:space="preserve">Metals </w:t>
      </w:r>
      <w:r w:rsidR="006D7F55">
        <w:t>including</w:t>
      </w:r>
      <w:r>
        <w:t xml:space="preserve"> Fe, Mg, Mn and Ca, as well as total P were measured using </w:t>
      </w:r>
      <w:r w:rsidRPr="00A7318D">
        <w:t>I</w:t>
      </w:r>
      <w:r>
        <w:t xml:space="preserve">nductively </w:t>
      </w:r>
      <w:r w:rsidRPr="00A7318D">
        <w:t>C</w:t>
      </w:r>
      <w:r>
        <w:t xml:space="preserve">oupled </w:t>
      </w:r>
      <w:r w:rsidRPr="00A7318D">
        <w:t>P</w:t>
      </w:r>
      <w:r>
        <w:t>lasma</w:t>
      </w:r>
      <w:r w:rsidRPr="00A7318D">
        <w:t>-O</w:t>
      </w:r>
      <w:r>
        <w:t xml:space="preserve">ptical </w:t>
      </w:r>
      <w:r w:rsidRPr="00A7318D">
        <w:t>E</w:t>
      </w:r>
      <w:r>
        <w:t xml:space="preserve">mission </w:t>
      </w:r>
      <w:r w:rsidRPr="00A7318D">
        <w:t>S</w:t>
      </w:r>
      <w:r>
        <w:t>pectroscopy (ICP-OES)</w:t>
      </w:r>
      <w:r>
        <w:t xml:space="preserve">, </w:t>
      </w:r>
      <w:r w:rsidR="00630DE6">
        <w:t xml:space="preserve"> In the case of Fe determination</w:t>
      </w:r>
      <w:r w:rsidR="006D7F55">
        <w:t xml:space="preserve"> in</w:t>
      </w:r>
      <w:r w:rsidR="00630DE6">
        <w:t xml:space="preserve"> sequential extracts</w:t>
      </w:r>
      <w:r w:rsidR="006D7F55">
        <w:t>, atomic absorption spectroscopy (AAS) was used.</w:t>
      </w:r>
    </w:p>
    <w:p w14:paraId="0581A2C4" w14:textId="77777777" w:rsidR="001D2713" w:rsidRDefault="00A7318D" w:rsidP="001D2713">
      <w:pPr>
        <w:pStyle w:val="Heading2"/>
        <w:rPr>
          <w:lang w:val="en-US"/>
        </w:rPr>
      </w:pPr>
      <w:r w:rsidRPr="00A7318D">
        <w:rPr>
          <w:lang w:val="en-US"/>
        </w:rPr>
        <w:t>Data Analysis</w:t>
      </w:r>
    </w:p>
    <w:p w14:paraId="2E0B8243" w14:textId="42730FD1" w:rsidR="00A7318D" w:rsidRDefault="00A7318D" w:rsidP="00A7318D">
      <w:r>
        <w:t>All data was processed in R.</w:t>
      </w:r>
      <w:r w:rsidR="001D2713">
        <w:t xml:space="preserve"> </w:t>
      </w:r>
    </w:p>
    <w:p w14:paraId="56AE6622" w14:textId="7C8D58E9" w:rsidR="001D2713" w:rsidRDefault="001D2713" w:rsidP="00A7318D">
      <w:r>
        <w:t>Total sulfide (TS) concentrations in the porewater were calculated from the H</w:t>
      </w:r>
      <w:r>
        <w:rPr>
          <w:vertAlign w:val="subscript"/>
        </w:rPr>
        <w:t>2</w:t>
      </w:r>
      <w:r>
        <w:t>S and pH concentration profiles following:</w:t>
      </w:r>
    </w:p>
    <w:p w14:paraId="2735AB7C" w14:textId="67458011" w:rsidR="001D2713" w:rsidRDefault="001D2713" w:rsidP="00A7318D">
      <m:oMathPara>
        <m:oMath>
          <m:r>
            <w:rPr>
              <w:rFonts w:ascii="Cambria Math" w:hAnsi="Cambria Math" w:cs="Cambria Math"/>
            </w:rPr>
            <m:t>[TS]</m:t>
          </m:r>
          <m:r>
            <m:rPr>
              <m:sty m:val="p"/>
            </m:rPr>
            <w:rPr>
              <w:rFonts w:ascii="Cambria Math" w:hAnsi="Cambria Math" w:cs="Cambria Math"/>
            </w:rPr>
            <m:t>=</m:t>
          </m:r>
          <m:r>
            <m:rPr>
              <m:sty m:val="p"/>
            </m:rPr>
            <w:rPr>
              <w:rFonts w:ascii="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e>
                      </m:d>
                    </m:sub>
                  </m:sSub>
                </m:sup>
              </m:sSup>
            </m:num>
            <m:den>
              <m:sSup>
                <m:sSupPr>
                  <m:ctrlPr>
                    <w:rPr>
                      <w:rFonts w:ascii="Cambria Math" w:hAnsi="Cambria Math" w:cs="Cambria Math"/>
                    </w:rPr>
                  </m:ctrlPr>
                </m:sSupPr>
                <m:e>
                  <m:r>
                    <w:rPr>
                      <w:rFonts w:ascii="Cambria Math" w:hAnsi="Cambria Math" w:cs="Cambria Math"/>
                    </w:rPr>
                    <m:t>10</m:t>
                  </m:r>
                </m:e>
                <m:sup>
                  <m:r>
                    <w:rPr>
                      <w:rFonts w:ascii="Cambria Math" w:hAnsi="Cambria Math" w:cs="Cambria Math"/>
                    </w:rPr>
                    <m:t>-pH</m:t>
                  </m:r>
                </m:sup>
              </m:sSup>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m:oMathPara>
    </w:p>
    <w:p w14:paraId="268D864F" w14:textId="0158DFA0" w:rsidR="001D2713" w:rsidRPr="00187A77" w:rsidRDefault="0089125D" w:rsidP="00A7318D">
      <w:r>
        <w:t>Where [TS] and [H</w:t>
      </w:r>
      <w:r>
        <w:rPr>
          <w:vertAlign w:val="subscript"/>
        </w:rPr>
        <w:t>2</w:t>
      </w:r>
      <w:r>
        <w:t>S] are the concentrations of total sulfide and</w:t>
      </w:r>
      <w:r w:rsidR="00BF2033">
        <w:t xml:space="preserve"> measured</w:t>
      </w:r>
      <w:r>
        <w:t xml:space="preserve"> hydrogen sulfide </w:t>
      </w:r>
      <w:r w:rsidR="00187A77">
        <w:t>respectively</w:t>
      </w:r>
      <w:r>
        <w:t>,</w:t>
      </w:r>
      <w:r w:rsidR="00BF2033">
        <w:t xml:space="preserve"> pH the measured pH at the same depth,</w:t>
      </w:r>
      <w:r>
        <w:t xml:space="preserve"> and </w:t>
      </w:r>
      <w:proofErr w:type="spellStart"/>
      <w:r>
        <w:t>pK</w:t>
      </w:r>
      <w:r>
        <w:rPr>
          <w:vertAlign w:val="subscript"/>
        </w:rPr>
        <w:t>a</w:t>
      </w:r>
      <w:proofErr w:type="spellEnd"/>
      <w:r>
        <w:rPr>
          <w:vertAlign w:val="subscript"/>
        </w:rPr>
        <w:t>(H2S)</w:t>
      </w:r>
      <w:r>
        <w:t xml:space="preserve"> the </w:t>
      </w:r>
      <w:proofErr w:type="spellStart"/>
      <w:r>
        <w:t>pKa</w:t>
      </w:r>
      <w:proofErr w:type="spellEnd"/>
      <w:r>
        <w:t xml:space="preserve"> of the </w:t>
      </w:r>
      <w:r w:rsidR="00187A77">
        <w:t>acid base pare H</w:t>
      </w:r>
      <w:r w:rsidR="00187A77">
        <w:rPr>
          <w:vertAlign w:val="subscript"/>
        </w:rPr>
        <w:t>2</w:t>
      </w:r>
      <w:r w:rsidR="00187A77">
        <w:t>S and HS</w:t>
      </w:r>
      <w:r w:rsidR="00187A77">
        <w:rPr>
          <w:vertAlign w:val="superscript"/>
        </w:rPr>
        <w:t>-</w:t>
      </w:r>
      <w:r w:rsidR="00187A77">
        <w:t>.</w:t>
      </w:r>
      <w:r w:rsidR="00BF2033">
        <w:t xml:space="preserve"> </w:t>
      </w:r>
    </w:p>
    <w:p w14:paraId="2BE173FB" w14:textId="77777777" w:rsidR="004614AC" w:rsidRPr="00A7318D" w:rsidRDefault="004614AC">
      <w:pPr>
        <w:rPr>
          <w:rFonts w:asciiTheme="majorHAnsi" w:eastAsiaTheme="majorEastAsia" w:hAnsiTheme="majorHAnsi" w:cstheme="majorBidi"/>
          <w:color w:val="2F5496" w:themeColor="accent1" w:themeShade="BF"/>
          <w:sz w:val="32"/>
          <w:szCs w:val="32"/>
        </w:rPr>
      </w:pPr>
    </w:p>
    <w:p w14:paraId="31338A84" w14:textId="77777777" w:rsidR="00A7318D" w:rsidRDefault="00A7318D">
      <w:pPr>
        <w:rPr>
          <w:rFonts w:asciiTheme="majorHAnsi" w:eastAsiaTheme="majorEastAsia" w:hAnsiTheme="majorHAnsi" w:cstheme="majorBidi"/>
          <w:color w:val="2F5496" w:themeColor="accent1" w:themeShade="BF"/>
          <w:sz w:val="32"/>
          <w:szCs w:val="32"/>
        </w:rPr>
      </w:pPr>
      <w:r>
        <w:br w:type="page"/>
      </w:r>
    </w:p>
    <w:p w14:paraId="49AAFCD8" w14:textId="6C2060EE" w:rsidR="00B427B2" w:rsidRDefault="00B427B2" w:rsidP="00946EDA">
      <w:pPr>
        <w:pStyle w:val="Heading1"/>
      </w:pPr>
      <w:r w:rsidRPr="00A7318D">
        <w:lastRenderedPageBreak/>
        <w:t>Results</w:t>
      </w:r>
    </w:p>
    <w:p w14:paraId="1CDAE72C" w14:textId="14E34F90" w:rsidR="008B3FB0" w:rsidRPr="008B3FB0" w:rsidRDefault="008B3FB0" w:rsidP="008B3FB0">
      <w:r>
        <w:t xml:space="preserve">A </w:t>
      </w:r>
      <w:r w:rsidRPr="00A7318D">
        <w:t>Fe/P molar ratio of</w:t>
      </w:r>
      <w:r>
        <w:t xml:space="preserve"> 1.8 was determined in the Fe-P was estimated as</w:t>
      </w:r>
      <w:r w:rsidRPr="00A7318D">
        <w:t xml:space="preserve"> 1.8, measured by ICP-OES</w:t>
      </w:r>
    </w:p>
    <w:p w14:paraId="62C03877" w14:textId="5B74E0FE" w:rsidR="00B427B2" w:rsidRPr="00A7318D" w:rsidRDefault="00B427B2" w:rsidP="00946EDA">
      <w:pPr>
        <w:pStyle w:val="Heading1"/>
      </w:pPr>
      <w:r w:rsidRPr="00A7318D">
        <w:t>Discussion</w:t>
      </w:r>
    </w:p>
    <w:p w14:paraId="2DE85B46" w14:textId="05DD4E0E" w:rsidR="00B427B2" w:rsidRPr="00A7318D" w:rsidRDefault="00B427B2" w:rsidP="00946EDA">
      <w:pPr>
        <w:pStyle w:val="Heading1"/>
      </w:pPr>
      <w:r w:rsidRPr="00A7318D">
        <w:t>Conclusion</w:t>
      </w:r>
    </w:p>
    <w:p w14:paraId="16082E54" w14:textId="656DC6FC" w:rsidR="00B427B2" w:rsidRPr="00A7318D" w:rsidRDefault="00B427B2" w:rsidP="00946EDA">
      <w:pPr>
        <w:pStyle w:val="Heading1"/>
      </w:pPr>
      <w:r w:rsidRPr="00A7318D">
        <w:t>Acknowledgements</w:t>
      </w:r>
    </w:p>
    <w:p w14:paraId="2E389444" w14:textId="45150C0D" w:rsidR="00B427B2" w:rsidRPr="00A7318D" w:rsidRDefault="00480C1A" w:rsidP="00946EDA">
      <w:pPr>
        <w:pStyle w:val="Heading1"/>
      </w:pPr>
      <w:r w:rsidRPr="00A7318D">
        <w:t>References</w:t>
      </w:r>
    </w:p>
    <w:p w14:paraId="2818069F" w14:textId="77777777" w:rsidR="00AD615F" w:rsidRPr="00A7318D" w:rsidRDefault="00FA40DF" w:rsidP="00AD615F">
      <w:pPr>
        <w:pStyle w:val="Bibliography"/>
        <w:rPr>
          <w:rFonts w:ascii="Calibri" w:hAnsi="Calibri" w:cs="Calibri"/>
        </w:rPr>
      </w:pPr>
      <w:r w:rsidRPr="00A7318D">
        <w:fldChar w:fldCharType="begin"/>
      </w:r>
      <w:r w:rsidR="00AD615F" w:rsidRPr="00A7318D">
        <w:instrText xml:space="preserve"> ADDIN ZOTERO_BIBL {"uncited":[],"omitted":[],"custom":[]} CSL_BIBLIOGRAPHY </w:instrText>
      </w:r>
      <w:r w:rsidRPr="00A7318D">
        <w:fldChar w:fldCharType="separate"/>
      </w:r>
      <w:r w:rsidR="00AD615F" w:rsidRPr="00A7318D">
        <w:rPr>
          <w:rFonts w:ascii="Calibri" w:hAnsi="Calibri" w:cs="Calibri"/>
        </w:rPr>
        <w:t>Heinrich, L., Rothe, M., Braun, B., Hupfer, M., 2020. Transformation of redox-sensitive to redox-stable iron-bound phosphorus in anoxic lake sediments under laboratory conditions. Water Res. 189, 116609.</w:t>
      </w:r>
    </w:p>
    <w:p w14:paraId="3CC2BFBA" w14:textId="77777777" w:rsidR="00AD615F" w:rsidRPr="00A7318D" w:rsidRDefault="00AD615F" w:rsidP="00AD615F">
      <w:pPr>
        <w:pStyle w:val="Bibliography"/>
        <w:rPr>
          <w:rFonts w:ascii="Calibri" w:hAnsi="Calibri" w:cs="Calibri"/>
        </w:rPr>
      </w:pPr>
      <w:r w:rsidRPr="00A7318D">
        <w:rPr>
          <w:rFonts w:ascii="Calibri" w:hAnsi="Calibri" w:cs="Calibri"/>
        </w:rPr>
        <w:t>Smith, E.J., Davison, W., Hamilton-Taylor, J., 2002. Methods for preparing synthetic freshwaters. Water Res. 36, 1286–1296. https://doi.org/10.1016/S0043-1354(01)00341-4</w:t>
      </w:r>
    </w:p>
    <w:p w14:paraId="74F3F894" w14:textId="164224BB" w:rsidR="00A8374D" w:rsidRPr="00A7318D" w:rsidRDefault="00FA40DF">
      <w:pPr>
        <w:rPr>
          <w:rFonts w:asciiTheme="majorHAnsi" w:eastAsiaTheme="majorEastAsia" w:hAnsiTheme="majorHAnsi" w:cstheme="majorBidi"/>
          <w:color w:val="2F5496" w:themeColor="accent1" w:themeShade="BF"/>
          <w:sz w:val="32"/>
          <w:szCs w:val="32"/>
        </w:rPr>
      </w:pPr>
      <w:r w:rsidRPr="00A7318D">
        <w:fldChar w:fldCharType="end"/>
      </w:r>
      <w:r w:rsidR="00A8374D" w:rsidRPr="00A7318D">
        <w:br w:type="page"/>
      </w:r>
    </w:p>
    <w:p w14:paraId="537C39B8" w14:textId="2537284D" w:rsidR="00480C1A" w:rsidRPr="00A7318D" w:rsidRDefault="00480C1A" w:rsidP="00480C1A">
      <w:pPr>
        <w:pStyle w:val="Heading1"/>
      </w:pPr>
      <w:r w:rsidRPr="00A7318D">
        <w:lastRenderedPageBreak/>
        <w:t>Figures</w:t>
      </w:r>
    </w:p>
    <w:p w14:paraId="5011E78A" w14:textId="1FBB1EE7" w:rsidR="00534278" w:rsidRPr="00A7318D" w:rsidRDefault="00534278" w:rsidP="00534278">
      <w:r w:rsidRPr="00A7318D">
        <w:drawing>
          <wp:inline distT="0" distB="0" distL="0" distR="0" wp14:anchorId="689D46C0" wp14:editId="62FCC76F">
            <wp:extent cx="5431902" cy="2715951"/>
            <wp:effectExtent l="0" t="0" r="0" b="8255"/>
            <wp:docPr id="2" name="Picture 10">
              <a:extLst xmlns:a="http://schemas.openxmlformats.org/drawingml/2006/main">
                <a:ext uri="{FF2B5EF4-FFF2-40B4-BE49-F238E27FC236}">
                  <a16:creationId xmlns:a16="http://schemas.microsoft.com/office/drawing/2014/main" id="{7F80657A-0EFD-7599-9C96-61EDCFD76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a:extLst>
                        <a:ext uri="{FF2B5EF4-FFF2-40B4-BE49-F238E27FC236}">
                          <a16:creationId xmlns:a16="http://schemas.microsoft.com/office/drawing/2014/main" id="{7F80657A-0EFD-7599-9C96-61EDCFD76D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1902" cy="2715951"/>
                    </a:xfrm>
                    <a:prstGeom prst="rect">
                      <a:avLst/>
                    </a:prstGeom>
                  </pic:spPr>
                </pic:pic>
              </a:graphicData>
            </a:graphic>
          </wp:inline>
        </w:drawing>
      </w:r>
    </w:p>
    <w:p w14:paraId="6F1353E4" w14:textId="471219C8" w:rsidR="00480C1A" w:rsidRPr="00A7318D" w:rsidRDefault="00A8374D" w:rsidP="00480C1A">
      <w:r w:rsidRPr="00A7318D">
        <w:drawing>
          <wp:inline distT="0" distB="0" distL="0" distR="0" wp14:anchorId="2F254344" wp14:editId="2BCC71B7">
            <wp:extent cx="576071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tion_total_Aarh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19" cy="3360420"/>
                    </a:xfrm>
                    <a:prstGeom prst="rect">
                      <a:avLst/>
                    </a:prstGeom>
                  </pic:spPr>
                </pic:pic>
              </a:graphicData>
            </a:graphic>
          </wp:inline>
        </w:drawing>
      </w:r>
    </w:p>
    <w:p w14:paraId="1C73E57A" w14:textId="77777777" w:rsidR="00534278" w:rsidRPr="00A7318D" w:rsidRDefault="00534278" w:rsidP="00480C1A"/>
    <w:p w14:paraId="265ECEAC" w14:textId="0948E309" w:rsidR="00A8374D" w:rsidRPr="00A7318D" w:rsidRDefault="00A8374D">
      <w:pPr>
        <w:rPr>
          <w:rFonts w:asciiTheme="majorHAnsi" w:eastAsiaTheme="majorEastAsia" w:hAnsiTheme="majorHAnsi" w:cstheme="majorBidi"/>
          <w:color w:val="2F5496" w:themeColor="accent1" w:themeShade="BF"/>
          <w:sz w:val="32"/>
          <w:szCs w:val="32"/>
        </w:rPr>
      </w:pPr>
      <w:r w:rsidRPr="00A7318D">
        <w:br w:type="page"/>
      </w:r>
      <w:r w:rsidR="004614AC" w:rsidRPr="00A7318D">
        <w:lastRenderedPageBreak/>
        <w:drawing>
          <wp:inline distT="0" distB="0" distL="0" distR="0" wp14:anchorId="4C3A8757" wp14:editId="7C6701D9">
            <wp:extent cx="5431902" cy="3032429"/>
            <wp:effectExtent l="0" t="0" r="0" b="0"/>
            <wp:docPr id="11" name="Picture 10">
              <a:extLst xmlns:a="http://schemas.openxmlformats.org/drawingml/2006/main">
                <a:ext uri="{FF2B5EF4-FFF2-40B4-BE49-F238E27FC236}">
                  <a16:creationId xmlns:a16="http://schemas.microsoft.com/office/drawing/2014/main" id="{7F80657A-0EFD-7599-9C96-61EDCFD76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F80657A-0EFD-7599-9C96-61EDCFD76D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31902" cy="3032429"/>
                    </a:xfrm>
                    <a:prstGeom prst="rect">
                      <a:avLst/>
                    </a:prstGeom>
                  </pic:spPr>
                </pic:pic>
              </a:graphicData>
            </a:graphic>
          </wp:inline>
        </w:drawing>
      </w:r>
    </w:p>
    <w:p w14:paraId="32FB1024" w14:textId="77777777" w:rsidR="004614AC" w:rsidRPr="00A7318D" w:rsidRDefault="004614AC">
      <w:pPr>
        <w:rPr>
          <w:rFonts w:asciiTheme="majorHAnsi" w:eastAsiaTheme="majorEastAsia" w:hAnsiTheme="majorHAnsi" w:cstheme="majorBidi"/>
          <w:color w:val="2F5496" w:themeColor="accent1" w:themeShade="BF"/>
          <w:sz w:val="32"/>
          <w:szCs w:val="32"/>
        </w:rPr>
      </w:pPr>
      <w:r w:rsidRPr="00A7318D">
        <w:br w:type="page"/>
      </w:r>
    </w:p>
    <w:p w14:paraId="3AE57134" w14:textId="16BEDB98" w:rsidR="00480C1A" w:rsidRPr="00A7318D" w:rsidRDefault="00480C1A" w:rsidP="00480C1A">
      <w:pPr>
        <w:pStyle w:val="Heading1"/>
      </w:pPr>
      <w:r w:rsidRPr="00A7318D">
        <w:lastRenderedPageBreak/>
        <w:t>Tables</w:t>
      </w:r>
    </w:p>
    <w:p w14:paraId="7095A086" w14:textId="0B437B1C" w:rsidR="00B427B2" w:rsidRDefault="00B427B2" w:rsidP="00B427B2"/>
    <w:sectPr w:rsidR="00B427B2" w:rsidSect="00267C3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2DB"/>
    <w:multiLevelType w:val="hybridMultilevel"/>
    <w:tmpl w:val="6596CB64"/>
    <w:lvl w:ilvl="0" w:tplc="7C728B3E">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ED325D"/>
    <w:multiLevelType w:val="hybridMultilevel"/>
    <w:tmpl w:val="6D001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E34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FC3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E55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AD73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5351122">
    <w:abstractNumId w:val="0"/>
  </w:num>
  <w:num w:numId="2" w16cid:durableId="1818258172">
    <w:abstractNumId w:val="1"/>
  </w:num>
  <w:num w:numId="3" w16cid:durableId="2056184">
    <w:abstractNumId w:val="4"/>
  </w:num>
  <w:num w:numId="4" w16cid:durableId="1026097237">
    <w:abstractNumId w:val="5"/>
  </w:num>
  <w:num w:numId="5" w16cid:durableId="837038390">
    <w:abstractNumId w:val="3"/>
  </w:num>
  <w:num w:numId="6" w16cid:durableId="25247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54"/>
    <w:rsid w:val="0001585B"/>
    <w:rsid w:val="0009143F"/>
    <w:rsid w:val="000B231D"/>
    <w:rsid w:val="00114FD1"/>
    <w:rsid w:val="00167CDC"/>
    <w:rsid w:val="00187A77"/>
    <w:rsid w:val="001B67CC"/>
    <w:rsid w:val="001D2713"/>
    <w:rsid w:val="001D7BE3"/>
    <w:rsid w:val="001E18DE"/>
    <w:rsid w:val="001E2075"/>
    <w:rsid w:val="00206151"/>
    <w:rsid w:val="00267C35"/>
    <w:rsid w:val="00287006"/>
    <w:rsid w:val="002A705B"/>
    <w:rsid w:val="002B57CD"/>
    <w:rsid w:val="002C4C7B"/>
    <w:rsid w:val="002E4E74"/>
    <w:rsid w:val="002F119A"/>
    <w:rsid w:val="003322E9"/>
    <w:rsid w:val="00345B3B"/>
    <w:rsid w:val="00352519"/>
    <w:rsid w:val="00395530"/>
    <w:rsid w:val="003C17D7"/>
    <w:rsid w:val="003E57B4"/>
    <w:rsid w:val="00411931"/>
    <w:rsid w:val="00457C29"/>
    <w:rsid w:val="004614AC"/>
    <w:rsid w:val="00480C1A"/>
    <w:rsid w:val="004B7F6A"/>
    <w:rsid w:val="004E094F"/>
    <w:rsid w:val="00534278"/>
    <w:rsid w:val="00555E60"/>
    <w:rsid w:val="00575458"/>
    <w:rsid w:val="00630DE6"/>
    <w:rsid w:val="006D7F55"/>
    <w:rsid w:val="0075289D"/>
    <w:rsid w:val="0075751B"/>
    <w:rsid w:val="00763A2B"/>
    <w:rsid w:val="00764E3B"/>
    <w:rsid w:val="00836C91"/>
    <w:rsid w:val="00841A55"/>
    <w:rsid w:val="0089125D"/>
    <w:rsid w:val="008B3FB0"/>
    <w:rsid w:val="008C5C78"/>
    <w:rsid w:val="008D51FA"/>
    <w:rsid w:val="008E1941"/>
    <w:rsid w:val="008E6205"/>
    <w:rsid w:val="009000AA"/>
    <w:rsid w:val="00946EDA"/>
    <w:rsid w:val="00975AD0"/>
    <w:rsid w:val="00983ED0"/>
    <w:rsid w:val="009D025C"/>
    <w:rsid w:val="009F15F5"/>
    <w:rsid w:val="009F4411"/>
    <w:rsid w:val="00A7318D"/>
    <w:rsid w:val="00A8374D"/>
    <w:rsid w:val="00AD615F"/>
    <w:rsid w:val="00B427B2"/>
    <w:rsid w:val="00BF2033"/>
    <w:rsid w:val="00C45354"/>
    <w:rsid w:val="00C7048D"/>
    <w:rsid w:val="00C813D1"/>
    <w:rsid w:val="00C8240B"/>
    <w:rsid w:val="00CC2AC9"/>
    <w:rsid w:val="00CF3EAC"/>
    <w:rsid w:val="00D42CD0"/>
    <w:rsid w:val="00D7102E"/>
    <w:rsid w:val="00D73DDA"/>
    <w:rsid w:val="00E142BD"/>
    <w:rsid w:val="00E9025C"/>
    <w:rsid w:val="00E918B5"/>
    <w:rsid w:val="00F44CF2"/>
    <w:rsid w:val="00F754ED"/>
    <w:rsid w:val="00FA40DF"/>
    <w:rsid w:val="00FA491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0713"/>
  <w15:chartTrackingRefBased/>
  <w15:docId w15:val="{DB7CC14E-E1B5-4600-BB22-443176C4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7B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E74"/>
    <w:pPr>
      <w:keepNext/>
      <w:keepLines/>
      <w:numPr>
        <w:ilvl w:val="1"/>
        <w:numId w:val="6"/>
      </w:numPr>
      <w:spacing w:before="40" w:after="0"/>
      <w:outlineLvl w:val="1"/>
    </w:pPr>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Heading3">
    <w:name w:val="heading 3"/>
    <w:basedOn w:val="Normal"/>
    <w:next w:val="Normal"/>
    <w:link w:val="Heading3Char"/>
    <w:uiPriority w:val="9"/>
    <w:unhideWhenUsed/>
    <w:qFormat/>
    <w:rsid w:val="002E4E74"/>
    <w:pPr>
      <w:keepNext/>
      <w:keepLines/>
      <w:numPr>
        <w:ilvl w:val="2"/>
        <w:numId w:val="6"/>
      </w:numPr>
      <w:spacing w:before="40" w:after="0"/>
      <w:outlineLvl w:val="2"/>
    </w:pPr>
    <w:rPr>
      <w:rFonts w:asciiTheme="majorHAnsi" w:eastAsiaTheme="majorEastAsia" w:hAnsiTheme="majorHAnsi" w:cstheme="majorBidi"/>
      <w:color w:val="1F3763" w:themeColor="accent1" w:themeShade="7F"/>
      <w:kern w:val="2"/>
      <w:sz w:val="24"/>
      <w:szCs w:val="24"/>
      <w:lang w:val="nl-NL"/>
      <w14:ligatures w14:val="standardContextual"/>
    </w:rPr>
  </w:style>
  <w:style w:type="paragraph" w:styleId="Heading4">
    <w:name w:val="heading 4"/>
    <w:basedOn w:val="Normal"/>
    <w:next w:val="Normal"/>
    <w:link w:val="Heading4Char"/>
    <w:uiPriority w:val="9"/>
    <w:semiHidden/>
    <w:unhideWhenUsed/>
    <w:qFormat/>
    <w:rsid w:val="00946ED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6ED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6ED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6ED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6ED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6ED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rsid w:val="00B427B2"/>
    <w:pPr>
      <w:spacing w:after="0" w:line="220" w:lineRule="exact"/>
      <w:ind w:left="284" w:hanging="284"/>
    </w:pPr>
    <w:rPr>
      <w:rFonts w:ascii="Times" w:eastAsia="Times New Roman" w:hAnsi="Times" w:cs="Times New Roman"/>
      <w:noProof/>
      <w:sz w:val="18"/>
      <w:szCs w:val="20"/>
      <w:lang w:val="en-GB"/>
    </w:rPr>
  </w:style>
  <w:style w:type="character" w:customStyle="1" w:styleId="Heading1Char">
    <w:name w:val="Heading 1 Char"/>
    <w:basedOn w:val="DefaultParagraphFont"/>
    <w:link w:val="Heading1"/>
    <w:uiPriority w:val="9"/>
    <w:rsid w:val="00B427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E74"/>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NoSpacing">
    <w:name w:val="No Spacing"/>
    <w:uiPriority w:val="1"/>
    <w:qFormat/>
    <w:rsid w:val="002E4E74"/>
    <w:pPr>
      <w:spacing w:after="0" w:line="240" w:lineRule="auto"/>
    </w:pPr>
    <w:rPr>
      <w:kern w:val="2"/>
      <w:lang w:val="nl-NL"/>
      <w14:ligatures w14:val="standardContextual"/>
    </w:rPr>
  </w:style>
  <w:style w:type="paragraph" w:styleId="ListParagraph">
    <w:name w:val="List Paragraph"/>
    <w:basedOn w:val="Normal"/>
    <w:uiPriority w:val="34"/>
    <w:qFormat/>
    <w:rsid w:val="002E4E74"/>
    <w:pPr>
      <w:ind w:left="720"/>
      <w:contextualSpacing/>
    </w:pPr>
    <w:rPr>
      <w:kern w:val="2"/>
      <w:lang w:val="nl-NL"/>
      <w14:ligatures w14:val="standardContextual"/>
    </w:rPr>
  </w:style>
  <w:style w:type="character" w:customStyle="1" w:styleId="Heading3Char">
    <w:name w:val="Heading 3 Char"/>
    <w:basedOn w:val="DefaultParagraphFont"/>
    <w:link w:val="Heading3"/>
    <w:uiPriority w:val="9"/>
    <w:rsid w:val="002E4E74"/>
    <w:rPr>
      <w:rFonts w:asciiTheme="majorHAnsi" w:eastAsiaTheme="majorEastAsia" w:hAnsiTheme="majorHAnsi" w:cstheme="majorBidi"/>
      <w:color w:val="1F3763" w:themeColor="accent1" w:themeShade="7F"/>
      <w:kern w:val="2"/>
      <w:sz w:val="24"/>
      <w:szCs w:val="24"/>
      <w:lang w:val="nl-NL"/>
      <w14:ligatures w14:val="standardContextual"/>
    </w:rPr>
  </w:style>
  <w:style w:type="paragraph" w:styleId="Bibliography">
    <w:name w:val="Bibliography"/>
    <w:basedOn w:val="Normal"/>
    <w:next w:val="Normal"/>
    <w:uiPriority w:val="37"/>
    <w:unhideWhenUsed/>
    <w:rsid w:val="00FA40DF"/>
    <w:pPr>
      <w:spacing w:after="0" w:line="240" w:lineRule="auto"/>
      <w:ind w:left="720" w:hanging="720"/>
    </w:pPr>
  </w:style>
  <w:style w:type="character" w:customStyle="1" w:styleId="Heading4Char">
    <w:name w:val="Heading 4 Char"/>
    <w:basedOn w:val="DefaultParagraphFont"/>
    <w:link w:val="Heading4"/>
    <w:uiPriority w:val="9"/>
    <w:semiHidden/>
    <w:rsid w:val="00946E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6E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6E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6E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6E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6ED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162219">
      <w:bodyDiv w:val="1"/>
      <w:marLeft w:val="0"/>
      <w:marRight w:val="0"/>
      <w:marTop w:val="0"/>
      <w:marBottom w:val="0"/>
      <w:divBdr>
        <w:top w:val="none" w:sz="0" w:space="0" w:color="auto"/>
        <w:left w:val="none" w:sz="0" w:space="0" w:color="auto"/>
        <w:bottom w:val="none" w:sz="0" w:space="0" w:color="auto"/>
        <w:right w:val="none" w:sz="0" w:space="0" w:color="auto"/>
      </w:divBdr>
    </w:div>
    <w:div w:id="14467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7BDF6-35C5-4CCE-A5ED-71432399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 van Kuppevelt</dc:creator>
  <cp:keywords/>
  <dc:description/>
  <cp:lastModifiedBy>Harm van Kuppevelt</cp:lastModifiedBy>
  <cp:revision>25</cp:revision>
  <dcterms:created xsi:type="dcterms:W3CDTF">2024-05-21T08:34:00Z</dcterms:created>
  <dcterms:modified xsi:type="dcterms:W3CDTF">2024-06-28T00:43:00Z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id="lmkMQflI"/&gt;&lt;style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