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200"/>
        <w:jc w:val="center"/>
      </w:pPr>
      <w:r>
        <w:rPr>
          <w:rFonts w:ascii="Arial" w:cs="Arial" w:eastAsia="Arial" w:hAnsi="Arial"/>
          <w:b/>
          <w:bCs/>
          <w:color w:val="1F3864"/>
          <w:sz w:val="48"/>
          <w:szCs w:val="48"/>
        </w:rPr>
        <w:t xml:space="preserve">SOLUTION DESIGN DOCUMENT</w:t>
      </w:r>
    </w:p>
    <w:p>
      <w:pPr>
        <w:spacing w:after="160"/>
        <w:jc w:val="center"/>
      </w:pPr>
      <w:r>
        <w:rPr>
          <w:rFonts w:ascii="Arial" w:cs="Arial" w:eastAsia="Arial" w:hAnsi="Arial"/>
          <w:b/>
          <w:bCs/>
          <w:color w:val="2E5FA3"/>
          <w:sz w:val="36"/>
          <w:szCs w:val="36"/>
        </w:rPr>
        <w:t xml:space="preserve">Option 1: Hybrid Pipeline</w:t>
      </w:r>
    </w:p>
    <w:p>
      <w:pPr>
        <w:spacing w:after="160"/>
        <w:jc w:val="center"/>
      </w:pPr>
      <w:r>
        <w:rPr>
          <w:rFonts w:ascii="Arial" w:cs="Arial" w:eastAsia="Arial" w:hAnsi="Arial"/>
          <w:color w:val="444444"/>
          <w:sz w:val="26"/>
          <w:szCs w:val="26"/>
        </w:rPr>
        <w:t xml:space="preserve">Glue Python Shell + dbt Core + Athena + DuckDB + Prefect</w:t>
      </w:r>
    </w:p>
    <w:p>
      <w:pPr>
        <w:spacing w:after="400"/>
        <w:jc w:val="center"/>
      </w:pPr>
      <w:r>
        <w:rPr>
          <w:rFonts w:ascii="Arial" w:cs="Arial" w:eastAsia="Arial" w:hAnsi="Arial"/>
          <w:color w:val="666666"/>
          <w:sz w:val="22"/>
          <w:szCs w:val="22"/>
        </w:rPr>
        <w:t xml:space="preserve">Clipboard Health — Healthcare Metrics Project</w:t>
      </w:r>
    </w:p>
    <w:p>
      <w:pPr>
        <w:spacing w:after="160"/>
        <w:jc w:val="center"/>
      </w:pPr>
      <w:r>
        <w:rPr>
          <w:rFonts w:ascii="Arial" w:cs="Arial" w:eastAsia="Arial" w:hAnsi="Arial"/>
          <w:color w:val="888888"/>
          <w:sz w:val="20"/>
          <w:szCs w:val="20"/>
        </w:rPr>
        <w:t xml:space="preserve">Version 1.0  |  May 2025</w:t>
      </w:r>
    </w:p>
    <w:p>
      <w:pPr>
        <w:spacing w:after="0"/>
      </w:pPr>
      <w:r>
        <w:br w:type="page"/>
      </w:r>
    </w:p>
    <w:p>
      <w:pPr>
        <w:pStyle w:val="Heading1"/>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This document describes the solution design for Option 1 of the Clipboard Health Healthcare Metrics Data Pipeline — a hybrid architecture combining AWS managed services with best-in-class open-source tooling.</w:t>
      </w:r>
    </w:p>
    <w:p>
      <w:pPr>
        <w:spacing w:after="160"/>
      </w:pPr>
      <w:r>
        <w:rPr>
          <w:rFonts w:ascii="Arial" w:cs="Arial" w:eastAsia="Arial" w:hAnsi="Arial"/>
          <w:sz w:val="22"/>
          <w:szCs w:val="22"/>
        </w:rPr>
        <w:t xml:space="preserve">The pipeline ingests CMS nursing home staffing and quality data from Google Drive, transforms it through a three-zone S3 data lake (Bronze / Silver / Gold), computes five core operational metrics (M1–M5), and serves them through an interactive Streamlit dashboard. Analysts also have direct SQL access via AWS Athena.</w:t>
      </w:r>
    </w:p>
    <w:p>
      <w:pPr>
        <w:spacing w:after="160"/>
      </w:pPr>
      <w:r>
        <w:rPr>
          <w:rFonts w:ascii="Arial" w:cs="Arial" w:eastAsia="Arial" w:hAnsi="Arial"/>
          <w:sz w:val="22"/>
          <w:szCs w:val="22"/>
        </w:rPr>
        <w:t xml:space="preserve">This option is recommended for teams that prioritize developer velocity, readable SQL transforms, low operational cost, and fast dashboard query performance.</w:t>
      </w:r>
    </w:p>
    <w:p>
      <w:pPr>
        <w:spacing w:after="120"/>
      </w:pPr>
      <w:r>
        <w:t xml:space="preserve"/>
      </w:r>
    </w:p>
    <w:p>
      <w:pPr>
        <w:pStyle w:val="Heading1"/>
      </w:pPr>
      <w:r>
        <w:rPr>
          <w:rFonts w:ascii="Arial" w:cs="Arial" w:eastAsia="Arial" w:hAnsi="Arial"/>
          <w:b/>
          <w:bCs/>
          <w:sz w:val="32"/>
          <w:szCs w:val="32"/>
        </w:rPr>
        <w:t xml:space="preserve">2. Architecture Overview</w:t>
      </w:r>
    </w:p>
    <w:p>
      <w:pPr>
        <w:spacing w:after="160"/>
      </w:pPr>
      <w:r>
        <w:rPr>
          <w:rFonts w:ascii="Arial" w:cs="Arial" w:eastAsia="Arial" w:hAnsi="Arial"/>
          <w:sz w:val="22"/>
          <w:szCs w:val="22"/>
        </w:rPr>
        <w:t xml:space="preserve">The pipeline is structured in seven layers: Source → Ingestion → Storage → Transformation → Orchestration → Serving → Consumption. See the accompanying draw.io diagram (architecture_option1_dbt.drawio) for the visual representation.</w:t>
      </w:r>
    </w:p>
    <w:p>
      <w:pPr>
        <w:spacing w:after="120"/>
      </w:pPr>
      <w:r>
        <w:t xml:space="preserve"/>
      </w:r>
    </w:p>
    <w:p>
      <w:pPr>
        <w:pStyle w:val="Heading2"/>
      </w:pPr>
      <w:r>
        <w:rPr>
          <w:rFonts w:ascii="Arial" w:cs="Arial" w:eastAsia="Arial" w:hAnsi="Arial"/>
          <w:b/>
          <w:bCs/>
          <w:sz w:val="28"/>
          <w:szCs w:val="28"/>
        </w:rPr>
        <w:t xml:space="preserve">2.1 Layer-by-Layer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606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CMS files (PBJ quarterly, ProviderInfo monthly, VBP annually) are stored in Google Drive. Native file metadata API enables incremental detection.</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Ingestion</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Glue Python Shell Job</w:t>
            </w:r>
          </w:p>
        </w:tc>
        <w:tc>
          <w:tcPr>
            <w:tcW w:type="dxa" w:w="6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Handles large file downloads (up to 60 min timeout vs Lambda 15 min). Full pip library support for Google Drive SDK. Single component — no Lambda + SQS complexity.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Watermarking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DynamoDB</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last_modified_drive timestamp per file. Glue Shell checks watermark before downloading — only new/changed files are processed. Acts as fault-tolerant retry mechanism.</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Storage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S3 (Bronze / Silver / Gold)</w:t>
            </w:r>
          </w:p>
        </w:tc>
        <w:tc>
          <w:tcPr>
            <w:tcW w:type="dxa" w:w="6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Industry-standard data lake pattern. Bronze = immutable raw CSVs. Silver = cleaned Parquet. Gold = M1–M5 metric aggregates. Cheapest storage at this scale.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Iceberg</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to Silver and Gold layers. Provides ACID transactions, schema evolution (handles CMS quarterly column additions), and time travel for audit. Iceberg chosen over Delta Lake for first-class AWS Athena support.</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Transformation</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dbt Core + AWS Athena</w:t>
            </w:r>
          </w:p>
        </w:tc>
        <w:tc>
          <w:tcPr>
            <w:tcW w:type="dxa" w:w="6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dbt writes SQL SELECT models — readable by analysts and engineers alike. Athena executes them directly against S3 Parquet. Built-in data quality tests (not_null, unique, relationships). Auto-generated lineage and documentation. Cost: ~$0.003 per full run vs Glue Spark ~$0.20.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Registry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Glue Data Catalog</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Registers all Bronze/Silver/Gold tables. Makes them discoverable by Athena, dbt, and any future tool without manual configuration.</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Prefect</w:t>
            </w:r>
          </w:p>
        </w:tc>
        <w:tc>
          <w:tcPr>
            <w:tcW w:type="dxa" w:w="6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Pure Python scheduler — same language as pipeline code. Prefect Cloud UI shows run history, logs, and failure alerts. Triggers Glue Shell job (ingest) then dbt runs (transform). Simpler than Step Functions for this use case.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 Serving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Athena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Multi-user ad-hoc SQL queries against Silver and Gold layers. Connects natively to DBeaver, Tableau, QuickSight. Pay-per-query pricing.</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Dashboard Serving</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DuckDB</w:t>
            </w:r>
          </w:p>
        </w:tc>
        <w:tc>
          <w:tcPr>
            <w:tcW w:type="dxa" w:w="6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In-process engine embedded in Streamlit. Reads Gold Parquet from S3 via httpfs extension. Millisecond query latency vs 2-10s Athena round-trip. Zero cost.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CloudWatch + Prefect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CloudWatch captures Glue Shell job logs. Prefect Cloud provides flow run history, failure notifications, and retry management.</w:t>
            </w:r>
          </w:p>
        </w:tc>
      </w:tr>
      <w:tr>
        <w:tc>
          <w:tcPr>
            <w:tcW w:type="dxa" w:w="1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Consumption</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Streamlit</w:t>
            </w:r>
          </w:p>
        </w:tc>
        <w:tc>
          <w:tcPr>
            <w:tcW w:type="dxa" w:w="60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Python-native dashboard framework. Connects to DuckDB for fast metric queries. Renders M1–M5 charts, tables, and filters.</w:t>
            </w:r>
          </w:p>
        </w:tc>
      </w:tr>
    </w:tbl>
    <w:p>
      <w:pPr>
        <w:spacing w:after="120"/>
      </w:pPr>
      <w:r>
        <w:t xml:space="preserve"/>
      </w:r>
    </w:p>
    <w:p>
      <w:pPr>
        <w:pStyle w:val="Heading1"/>
      </w:pPr>
      <w:r>
        <w:rPr>
          <w:rFonts w:ascii="Arial" w:cs="Arial" w:eastAsia="Arial" w:hAnsi="Arial"/>
          <w:b/>
          <w:bCs/>
          <w:sz w:val="32"/>
          <w:szCs w:val="32"/>
        </w:rPr>
        <w:t xml:space="preserve">3. End-to-End Data Flow</w:t>
      </w:r>
    </w:p>
    <w:p>
      <w:pPr>
        <w:spacing w:after="160"/>
      </w:pPr>
      <w:r>
        <w:rPr>
          <w:rFonts w:ascii="Arial" w:cs="Arial" w:eastAsia="Arial" w:hAnsi="Arial"/>
          <w:sz w:val="22"/>
          <w:szCs w:val="22"/>
        </w:rPr>
        <w:t xml:space="preserve">The following table describes the step-by-step sequence of operations for a full pipeline run triggered by a new quarterly CMS file drop.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EventBridge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 schedule fires (monthly / quarterly / annually per file type)</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Prefect</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Triggers Glue Python Shell ingestion 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Python Shell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Drive API, checks DynamoDB watermark, downloads new files to S3 Bronze</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DynamoDB</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Watermark updated with new last_modified_drive timestamp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dbt run after successful ingestion</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dbt + Athena</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Executes Bronze → Silver SQL models (cleaning, joins, outlier removal)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 Athena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Executes Silver → Gold SQL models (M1–M5 metric aggregations)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S3 Gold</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Parquet + Iceberg metric tables available for serving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DuckDB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loads Gold layer at startup via S3 httpfs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Athena</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Analysts query Silver/Gold on-demand via SQL clients</w:t>
            </w:r>
          </w:p>
        </w:tc>
      </w:tr>
    </w:tbl>
    <w:p>
      <w:pPr>
        <w:spacing w:after="120"/>
      </w:pPr>
      <w:r>
        <w:t xml:space="preserve"/>
      </w:r>
    </w:p>
    <w:p>
      <w:pPr>
        <w:pStyle w:val="Heading1"/>
      </w:pPr>
      <w:r>
        <w:rPr>
          <w:rFonts w:ascii="Arial" w:cs="Arial" w:eastAsia="Arial" w:hAnsi="Arial"/>
          <w:b/>
          <w:bCs/>
          <w:sz w:val="32"/>
          <w:szCs w:val="32"/>
        </w:rPr>
        <w:t xml:space="preserve">4. Storage Design — S3 Data Lake</w:t>
      </w:r>
    </w:p>
    <w:p>
      <w:pPr>
        <w:pStyle w:val="Heading2"/>
      </w:pPr>
      <w:r>
        <w:rPr>
          <w:rFonts w:ascii="Arial" w:cs="Arial" w:eastAsia="Arial" w:hAnsi="Arial"/>
          <w:b/>
          <w:bCs/>
          <w:sz w:val="28"/>
          <w:szCs w:val="28"/>
        </w:rPr>
        <w:t xml:space="preserve">4.1 Zone Definitions</w:t>
      </w:r>
    </w:p>
    <w:p>
      <w:pPr>
        <w:pStyle w:val="ListParagraph"/>
        <w:numPr>
          <w:ilvl w:val="0"/>
          <w:numId w:val="2"/>
        </w:numPr>
        <w:spacing w:after="100"/>
      </w:pPr>
      <w:r>
        <w:rPr>
          <w:rFonts w:ascii="Arial" w:cs="Arial" w:eastAsia="Arial" w:hAnsi="Arial"/>
          <w:sz w:val="22"/>
          <w:szCs w:val="22"/>
        </w:rPr>
        <w:t xml:space="preserve">Bronze: Raw CSVs exactly as received from Google Drive. Never modified. Partitioned by source_file and ingestion_date. Immutable — acts as the source of truth for reprocessing.</w:t>
      </w:r>
    </w:p>
    <w:p>
      <w:pPr>
        <w:pStyle w:val="ListParagraph"/>
        <w:numPr>
          <w:ilvl w:val="0"/>
          <w:numId w:val="2"/>
        </w:numPr>
        <w:spacing w:after="100"/>
      </w:pPr>
      <w:r>
        <w:rPr>
          <w:rFonts w:ascii="Arial" w:cs="Arial" w:eastAsia="Arial" w:hAnsi="Arial"/>
          <w:sz w:val="22"/>
          <w:szCs w:val="22"/>
        </w:rPr>
        <w:t xml:space="preserve">Silver: Cleaned, validated, and joined Parquet files in Apache Iceberg table format. All data quality fixes applied here (WorkDate parsing, outlier exclusion, PROVNUM zero-padding). One table per source file plus a master PBJ + ProviderInfo joined table.</w:t>
      </w:r>
    </w:p>
    <w:p>
      <w:pPr>
        <w:pStyle w:val="ListParagraph"/>
        <w:numPr>
          <w:ilvl w:val="0"/>
          <w:numId w:val="2"/>
        </w:numPr>
        <w:spacing w:after="100"/>
      </w:pPr>
      <w:r>
        <w:rPr>
          <w:rFonts w:ascii="Arial" w:cs="Arial" w:eastAsia="Arial" w:hAnsi="Arial"/>
          <w:sz w:val="22"/>
          <w:szCs w:val="22"/>
        </w:rPr>
        <w:t xml:space="preserve">Gold: Pre-aggregated metric outputs (M1–M5) in Apache Iceberg format. One table per metric. Dashboard-ready — Streamlit reads directly from Gold via DuckDB.</w:t>
      </w:r>
    </w:p>
    <w:p>
      <w:pPr>
        <w:spacing w:after="120"/>
      </w:pPr>
      <w:r>
        <w:t xml:space="preserve"/>
      </w:r>
    </w:p>
    <w:p>
      <w:pPr>
        <w:pStyle w:val="Heading2"/>
      </w:pPr>
      <w:r>
        <w:rPr>
          <w:rFonts w:ascii="Arial" w:cs="Arial" w:eastAsia="Arial" w:hAnsi="Arial"/>
          <w:b/>
          <w:bCs/>
          <w:sz w:val="28"/>
          <w:szCs w:val="28"/>
        </w:rPr>
        <w:t xml:space="preserve">4.2 Apache Iceberg Table Format</w:t>
      </w:r>
    </w:p>
    <w:p>
      <w:pPr>
        <w:spacing w:after="160"/>
      </w:pPr>
      <w:r>
        <w:rPr>
          <w:rFonts w:ascii="Arial" w:cs="Arial" w:eastAsia="Arial" w:hAnsi="Arial"/>
          <w:sz w:val="22"/>
          <w:szCs w:val="22"/>
        </w:rPr>
        <w:t xml:space="preserve">Apache Iceberg is applied to Silver and Gold layers for three specific reasons relevant to this project:</w:t>
      </w:r>
    </w:p>
    <w:p>
      <w:pPr>
        <w:pStyle w:val="ListParagraph"/>
        <w:numPr>
          <w:ilvl w:val="0"/>
          <w:numId w:val="2"/>
        </w:numPr>
        <w:spacing w:after="100"/>
      </w:pPr>
      <w:r>
        <w:rPr>
          <w:rFonts w:ascii="Arial" w:cs="Arial" w:eastAsia="Arial" w:hAnsi="Arial"/>
          <w:sz w:val="22"/>
          <w:szCs w:val="22"/>
        </w:rPr>
        <w:t xml:space="preserve">Schema evolution: CMS adds columns to ProviderInfo and PBJ quarterly. Iceberg handles new columns automatically without breaking existing queries — critical for a dataset that changes every quarter.</w:t>
      </w:r>
    </w:p>
    <w:p>
      <w:pPr>
        <w:pStyle w:val="ListParagraph"/>
        <w:numPr>
          <w:ilvl w:val="0"/>
          <w:numId w:val="2"/>
        </w:numPr>
        <w:spacing w:after="100"/>
      </w:pPr>
      <w:r>
        <w:rPr>
          <w:rFonts w:ascii="Arial" w:cs="Arial" w:eastAsia="Arial" w:hAnsi="Arial"/>
          <w:sz w:val="22"/>
          <w:szCs w:val="22"/>
        </w:rPr>
        <w:t xml:space="preserve">Time travel: Every write to an Iceberg table is versioned. Enables querying historical metric states — e.g. what did the nurse ratio look like before the Marigold outlier was excluded.</w:t>
      </w:r>
    </w:p>
    <w:p>
      <w:pPr>
        <w:pStyle w:val="ListParagraph"/>
        <w:numPr>
          <w:ilvl w:val="0"/>
          <w:numId w:val="2"/>
        </w:numPr>
        <w:spacing w:after="100"/>
      </w:pPr>
      <w:r>
        <w:rPr>
          <w:rFonts w:ascii="Arial" w:cs="Arial" w:eastAsia="Arial" w:hAnsi="Arial"/>
          <w:sz w:val="22"/>
          <w:szCs w:val="22"/>
        </w:rPr>
        <w:t xml:space="preserve">AWS-native support: Athena, Glue Catalog, and S3 Tables all have first-class Iceberg support. Chosen over Delta Lake specifically because of this native AWS integration.</w:t>
      </w:r>
    </w:p>
    <w:p>
      <w:pPr>
        <w:pStyle w:val="ListParagraph"/>
        <w:numPr>
          <w:ilvl w:val="0"/>
          <w:numId w:val="2"/>
        </w:numPr>
        <w:spacing w:after="100"/>
      </w:pPr>
      <w:r>
        <w:rPr>
          <w:rFonts w:ascii="Arial" w:cs="Arial" w:eastAsia="Arial" w:hAnsi="Arial"/>
          <w:sz w:val="22"/>
          <w:szCs w:val="22"/>
        </w:rPr>
        <w:t xml:space="preserve">Bronze layer uses plain Parquet — Iceberg adds no value on immutable raw files and would add unnecessary overhead.</w:t>
      </w:r>
    </w:p>
    <w:p>
      <w:pPr>
        <w:spacing w:after="120"/>
      </w:pPr>
      <w:r>
        <w:t xml:space="preserve"/>
      </w:r>
    </w:p>
    <w:p>
      <w:pPr>
        <w:pStyle w:val="Heading1"/>
      </w:pPr>
      <w:r>
        <w:rPr>
          <w:rFonts w:ascii="Arial" w:cs="Arial" w:eastAsia="Arial" w:hAnsi="Arial"/>
          <w:b/>
          <w:bCs/>
          <w:sz w:val="32"/>
          <w:szCs w:val="32"/>
        </w:rPr>
        <w:t xml:space="preserve">5. Transformation Design — dbt Core + Athena</w:t>
      </w:r>
    </w:p>
    <w:p>
      <w:pPr>
        <w:pStyle w:val="Heading2"/>
      </w:pPr>
      <w:r>
        <w:rPr>
          <w:rFonts w:ascii="Arial" w:cs="Arial" w:eastAsia="Arial" w:hAnsi="Arial"/>
          <w:b/>
          <w:bCs/>
          <w:sz w:val="28"/>
          <w:szCs w:val="28"/>
        </w:rPr>
        <w:t xml:space="preserve">5.1 Why dbt over Glue ETL PySpark</w:t>
      </w:r>
    </w:p>
    <w:p>
      <w:pPr>
        <w:pStyle w:val="ListParagraph"/>
        <w:numPr>
          <w:ilvl w:val="0"/>
          <w:numId w:val="2"/>
        </w:numPr>
        <w:spacing w:after="100"/>
      </w:pPr>
      <w:r>
        <w:rPr>
          <w:rFonts w:ascii="Arial" w:cs="Arial" w:eastAsia="Arial" w:hAnsi="Arial"/>
          <w:sz w:val="22"/>
          <w:szCs w:val="22"/>
        </w:rPr>
        <w:t xml:space="preserve">SQL-native: All transforms are plain SQL SELECT statements. Analysts and engineers share one language. No PySpark expertise required.</w:t>
      </w:r>
    </w:p>
    <w:p>
      <w:pPr>
        <w:pStyle w:val="ListParagraph"/>
        <w:numPr>
          <w:ilvl w:val="0"/>
          <w:numId w:val="2"/>
        </w:numPr>
        <w:spacing w:after="100"/>
      </w:pPr>
      <w:r>
        <w:rPr>
          <w:rFonts w:ascii="Arial" w:cs="Arial" w:eastAsia="Arial" w:hAnsi="Arial"/>
          <w:sz w:val="22"/>
          <w:szCs w:val="22"/>
        </w:rPr>
        <w:t xml:space="preserve">Built-in testing: not_null, unique, accepted_values, and relationships tests run automatically before every build. Data quality failures block downstream models from running.</w:t>
      </w:r>
    </w:p>
    <w:p>
      <w:pPr>
        <w:pStyle w:val="ListParagraph"/>
        <w:numPr>
          <w:ilvl w:val="0"/>
          <w:numId w:val="2"/>
        </w:numPr>
        <w:spacing w:after="100"/>
      </w:pPr>
      <w:r>
        <w:rPr>
          <w:rFonts w:ascii="Arial" w:cs="Arial" w:eastAsia="Arial" w:hAnsi="Arial"/>
          <w:sz w:val="22"/>
          <w:szCs w:val="22"/>
        </w:rPr>
        <w:t xml:space="preserve">Auto-documentation: dbt generates a browsable documentation site showing every model, column description, and dependency lineage graph.</w:t>
      </w:r>
    </w:p>
    <w:p>
      <w:pPr>
        <w:pStyle w:val="ListParagraph"/>
        <w:numPr>
          <w:ilvl w:val="0"/>
          <w:numId w:val="2"/>
        </w:numPr>
        <w:spacing w:after="100"/>
      </w:pPr>
      <w:r>
        <w:rPr>
          <w:rFonts w:ascii="Arial" w:cs="Arial" w:eastAsia="Arial" w:hAnsi="Arial"/>
          <w:sz w:val="22"/>
          <w:szCs w:val="22"/>
        </w:rPr>
        <w:t xml:space="preserve">Cost: dbt runs SQL on Athena at $5/TB scanned. Our Silver layer is ~500MB Parquet — approximately $0.003 per full pipeline run vs ~$0.20 minimum for a Glue Spark job.</w:t>
      </w:r>
    </w:p>
    <w:p>
      <w:pPr>
        <w:pStyle w:val="ListParagraph"/>
        <w:numPr>
          <w:ilvl w:val="0"/>
          <w:numId w:val="2"/>
        </w:numPr>
        <w:spacing w:after="100"/>
      </w:pPr>
      <w:r>
        <w:rPr>
          <w:rFonts w:ascii="Arial" w:cs="Arial" w:eastAsia="Arial" w:hAnsi="Arial"/>
          <w:sz w:val="22"/>
          <w:szCs w:val="22"/>
        </w:rPr>
        <w:t xml:space="preserve">Startup time: Athena queries start in seconds. Glue Spark clusters take 2-10 minutes to spin up on every run.</w:t>
      </w:r>
    </w:p>
    <w:p>
      <w:pPr>
        <w:spacing w:after="120"/>
      </w:pPr>
      <w:r>
        <w:t xml:space="preserve"/>
      </w:r>
    </w:p>
    <w:p>
      <w:pPr>
        <w:pStyle w:val="Heading2"/>
      </w:pPr>
      <w:r>
        <w:rPr>
          <w:rFonts w:ascii="Arial" w:cs="Arial" w:eastAsia="Arial" w:hAnsi="Arial"/>
          <w:b/>
          <w:bCs/>
          <w:sz w:val="28"/>
          <w:szCs w:val="28"/>
        </w:rPr>
        <w:t xml:space="preserve">5.2 dbt Model Structure</w:t>
      </w:r>
    </w:p>
    <w:p>
      <w:pPr>
        <w:pStyle w:val="ListParagraph"/>
        <w:numPr>
          <w:ilvl w:val="0"/>
          <w:numId w:val="2"/>
        </w:numPr>
        <w:spacing w:after="100"/>
      </w:pPr>
      <w:r>
        <w:rPr>
          <w:rFonts w:ascii="Arial" w:cs="Arial" w:eastAsia="Arial" w:hAnsi="Arial"/>
          <w:sz w:val="22"/>
          <w:szCs w:val="22"/>
        </w:rPr>
        <w:t xml:space="preserve">staging/: One model per source file. Applies data type fixes, renames columns to snake_case, excludes invalid rows (zero census, Marigold outlier).</w:t>
      </w:r>
    </w:p>
    <w:p>
      <w:pPr>
        <w:pStyle w:val="ListParagraph"/>
        <w:numPr>
          <w:ilvl w:val="0"/>
          <w:numId w:val="2"/>
        </w:numPr>
        <w:spacing w:after="100"/>
      </w:pPr>
      <w:r>
        <w:rPr>
          <w:rFonts w:ascii="Arial" w:cs="Arial" w:eastAsia="Arial" w:hAnsi="Arial"/>
          <w:sz w:val="22"/>
          <w:szCs w:val="22"/>
        </w:rPr>
        <w:t xml:space="preserve">intermediate/: Joins PBJ + ProviderInfo + VBP + Penalties on PROVNUM/CCN. Produces the master analytical dataset.</w:t>
      </w:r>
    </w:p>
    <w:p>
      <w:pPr>
        <w:pStyle w:val="ListParagraph"/>
        <w:numPr>
          <w:ilvl w:val="0"/>
          <w:numId w:val="2"/>
        </w:numPr>
        <w:spacing w:after="100"/>
      </w:pPr>
      <w:r>
        <w:rPr>
          <w:rFonts w:ascii="Arial" w:cs="Arial" w:eastAsia="Arial" w:hAnsi="Arial"/>
          <w:sz w:val="22"/>
          <w:szCs w:val="22"/>
        </w:rPr>
        <w:t xml:space="preserve">marts/: One model per metric (m1_nurse_ratio, m2_total_hours, m3_contract_ratio, m4_occupancy, m5_readmission_staffing). These are the Gold layer outputs.</w:t>
      </w:r>
    </w:p>
    <w:p>
      <w:pPr>
        <w:spacing w:after="120"/>
      </w:pPr>
      <w:r>
        <w:t xml:space="preserve"/>
      </w:r>
    </w:p>
    <w:p>
      <w:pPr>
        <w:pStyle w:val="Heading1"/>
      </w:pPr>
      <w:r>
        <w:rPr>
          <w:rFonts w:ascii="Arial" w:cs="Arial" w:eastAsia="Arial" w:hAnsi="Arial"/>
          <w:b/>
          <w:bCs/>
          <w:sz w:val="32"/>
          <w:szCs w:val="32"/>
        </w:rPr>
        <w:t xml:space="preserve">6. Metrics Design — M1 to M5</w:t>
      </w:r>
    </w:p>
    <w:p>
      <w:pPr>
        <w:spacing w:after="160"/>
      </w:pPr>
      <w:r>
        <w:rPr>
          <w:rFonts w:ascii="Arial" w:cs="Arial" w:eastAsia="Arial" w:hAnsi="Arial"/>
          <w:sz w:val="22"/>
          <w:szCs w:val="22"/>
        </w:rPr>
        <w:t xml:space="preserve">The following five metrics are calculated from the available data. All metrics are computed in the dbt marts layer with the exception of the Pearson correlation component of M5 which requires a Python script outside dbt.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800"/>
        <w:gridCol w:w="1400"/>
        <w:gridCol w:w="3960"/>
      </w:tblGrid>
      <w:tr>
        <w:trPr>
          <w:tblHeader/>
        </w:trPr>
        <w:tc>
          <w:tcPr>
            <w:tcW w:type="dxa" w:w="4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Metric Name</w:t>
            </w:r>
          </w:p>
        </w:tc>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Source Files</w:t>
            </w:r>
          </w:p>
        </w:tc>
        <w:tc>
          <w:tcPr>
            <w:tcW w:type="dxa" w:w="14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Computed In</w:t>
            </w:r>
          </w:p>
        </w:tc>
        <w:tc>
          <w:tcPr>
            <w:tcW w:type="dxa" w:w="396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Nurse-to-patient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PBJ daily + ProviderInfo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Silver → Gold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(Hrs_RN + Hrs_LPN + Hrs_CNA) / MDScensus per day, avg by facility/state/month</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M2</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Total nursing hours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PBJ daily</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dbt Silver → Gold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Sum all Hrs_* by facility, state, month. Role breakdown (RN/LPN/CNA)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vs employed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PBJ (_emp/_ctr cols)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Silver → Gold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sum(_ctr) / sum(total_hrs) per facility. Flag &gt;30% contract dependency</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M4</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Occupancy + throughput</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PBJ + ProviderInfo</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dbt Silver → Gold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Avg census / certified beds = occupancy %. Top 10 by avg census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Staffing vs readmission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PBJ + SNF_VBP + Penalties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 Python script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NTILE(4) staffing quartiles joined to RSRR. Pearson correlation in Python</w:t>
            </w:r>
          </w:p>
        </w:tc>
      </w:tr>
    </w:tbl>
    <w:p>
      <w:pPr>
        <w:spacing w:after="120"/>
      </w:pPr>
      <w:r>
        <w:t xml:space="preserve"/>
      </w:r>
    </w:p>
    <w:p>
      <w:pPr>
        <w:pStyle w:val="Heading1"/>
      </w:pPr>
      <w:r>
        <w:rPr>
          <w:rFonts w:ascii="Arial" w:cs="Arial" w:eastAsia="Arial" w:hAnsi="Arial"/>
          <w:b/>
          <w:bCs/>
          <w:sz w:val="32"/>
          <w:szCs w:val="32"/>
        </w:rPr>
        <w:t xml:space="preserve">7. Orchestration Design — Prefect</w:t>
      </w:r>
    </w:p>
    <w:p>
      <w:pPr>
        <w:spacing w:after="160"/>
      </w:pPr>
      <w:r>
        <w:rPr>
          <w:rFonts w:ascii="Arial" w:cs="Arial" w:eastAsia="Arial" w:hAnsi="Arial"/>
          <w:sz w:val="22"/>
          <w:szCs w:val="22"/>
        </w:rPr>
        <w:t xml:space="preserve">Prefect orchestrates the full pipeline in two flows:</w:t>
      </w:r>
    </w:p>
    <w:p>
      <w:pPr>
        <w:pStyle w:val="ListParagraph"/>
        <w:numPr>
          <w:ilvl w:val="0"/>
          <w:numId w:val="2"/>
        </w:numPr>
        <w:spacing w:after="100"/>
      </w:pPr>
      <w:r>
        <w:rPr>
          <w:rFonts w:ascii="Arial" w:cs="Arial" w:eastAsia="Arial" w:hAnsi="Arial"/>
          <w:sz w:val="22"/>
          <w:szCs w:val="22"/>
        </w:rPr>
        <w:t xml:space="preserve">ingestion_flow: Triggered by EventBridge cron schedule. Runs Glue Python Shell job. Checks DynamoDB watermark. Downloads new files to S3 Bronze. Updates watermark on success.</w:t>
      </w:r>
    </w:p>
    <w:p>
      <w:pPr>
        <w:pStyle w:val="ListParagraph"/>
        <w:numPr>
          <w:ilvl w:val="0"/>
          <w:numId w:val="2"/>
        </w:numPr>
        <w:spacing w:after="100"/>
      </w:pPr>
      <w:r>
        <w:rPr>
          <w:rFonts w:ascii="Arial" w:cs="Arial" w:eastAsia="Arial" w:hAnsi="Arial"/>
          <w:sz w:val="22"/>
          <w:szCs w:val="22"/>
        </w:rPr>
        <w:t xml:space="preserve">transformation_flow: Triggered by Prefect after successful ingestion_flow completion. Runs dbt build --select staging+ to execute all models in dependency order. Runs dbt test to validate outputs. Alerts on failure via Prefect Cloud notifications.</w:t>
      </w:r>
    </w:p>
    <w:p>
      <w:pPr>
        <w:spacing w:after="120"/>
      </w:pPr>
      <w:r>
        <w:t xml:space="preserve"/>
      </w:r>
    </w:p>
    <w:p>
      <w:pPr>
        <w:spacing w:after="160"/>
      </w:pPr>
      <w:r>
        <w:rPr>
          <w:rFonts w:ascii="Arial" w:cs="Arial" w:eastAsia="Arial" w:hAnsi="Arial"/>
          <w:sz w:val="22"/>
          <w:szCs w:val="22"/>
        </w:rPr>
        <w:t xml:space="preserve">Prefect was chosen over AWS Step Functions because it is pure Python — the same language used for the pipeline code — and requires no JSON state machine definitions or additional IAM configuration between states. Prefect Cloud provides a web UI for run history, logs, and alerts without additional infrastructure.</w:t>
      </w:r>
    </w:p>
    <w:p>
      <w:pPr>
        <w:spacing w:after="120"/>
      </w:pPr>
      <w:r>
        <w:t xml:space="preserve"/>
      </w:r>
    </w:p>
    <w:p>
      <w:pPr>
        <w:pStyle w:val="Heading1"/>
      </w:pPr>
      <w:r>
        <w:rPr>
          <w:rFonts w:ascii="Arial" w:cs="Arial" w:eastAsia="Arial" w:hAnsi="Arial"/>
          <w:b/>
          <w:bCs/>
          <w:sz w:val="32"/>
          <w:szCs w:val="32"/>
        </w:rPr>
        <w:t xml:space="preserve">8. Serving Design — Athena + DuckDB</w:t>
      </w:r>
    </w:p>
    <w:p>
      <w:pPr>
        <w:pStyle w:val="Heading2"/>
      </w:pPr>
      <w:r>
        <w:rPr>
          <w:rFonts w:ascii="Arial" w:cs="Arial" w:eastAsia="Arial" w:hAnsi="Arial"/>
          <w:b/>
          <w:bCs/>
          <w:sz w:val="28"/>
          <w:szCs w:val="28"/>
        </w:rPr>
        <w:t xml:space="preserve">8.1 DuckDB for Dashboard Serving</w:t>
      </w:r>
    </w:p>
    <w:p>
      <w:pPr>
        <w:spacing w:after="160"/>
      </w:pPr>
      <w:r>
        <w:rPr>
          <w:rFonts w:ascii="Arial" w:cs="Arial" w:eastAsia="Arial" w:hAnsi="Arial"/>
          <w:sz w:val="22"/>
          <w:szCs w:val="22"/>
        </w:rPr>
        <w:t xml:space="preserve">Streamlit uses DuckDB as its in-process query engine. At application startup DuckDB loads Gold layer Parquet files from S3 via the httpfs extension and caches them in memory. All dashboard interactions (filters, state selections, date ranges) run against the in-memory DuckDB instance with millisecond latency. No Athena calls occur during normal dashboard use.</w:t>
      </w:r>
    </w:p>
    <w:p>
      <w:pPr>
        <w:spacing w:after="120"/>
      </w:pPr>
      <w:r>
        <w:t xml:space="preserve"/>
      </w:r>
    </w:p>
    <w:p>
      <w:pPr>
        <w:pStyle w:val="Heading2"/>
      </w:pPr>
      <w:r>
        <w:rPr>
          <w:rFonts w:ascii="Arial" w:cs="Arial" w:eastAsia="Arial" w:hAnsi="Arial"/>
          <w:b/>
          <w:bCs/>
          <w:sz w:val="28"/>
          <w:szCs w:val="28"/>
        </w:rPr>
        <w:t xml:space="preserve">8.2 Athena for Analyst Serving</w:t>
      </w:r>
    </w:p>
    <w:p>
      <w:pPr>
        <w:spacing w:after="160"/>
      </w:pPr>
      <w:r>
        <w:rPr>
          <w:rFonts w:ascii="Arial" w:cs="Arial" w:eastAsia="Arial" w:hAnsi="Arial"/>
          <w:sz w:val="22"/>
          <w:szCs w:val="22"/>
        </w:rPr>
        <w:t xml:space="preserve">Analysts connect to Athena via DBeaver, Tableau, or the AWS console to run ad-hoc SQL queries against Silver and Gold layers. Athena supports multiple concurrent users, charges per query, and requires no server management. The Glue Data Catalog registers all tables making them immediately discoverable.</w:t>
      </w:r>
    </w:p>
    <w:p>
      <w:pPr>
        <w:spacing w:after="120"/>
      </w:pPr>
      <w:r>
        <w:t xml:space="preserve"/>
      </w:r>
    </w:p>
    <w:p>
      <w:pPr>
        <w:pStyle w:val="Heading1"/>
      </w:pPr>
      <w:r>
        <w:rPr>
          <w:rFonts w:ascii="Arial" w:cs="Arial" w:eastAsia="Arial" w:hAnsi="Arial"/>
          <w:b/>
          <w:bCs/>
          <w:sz w:val="32"/>
          <w:szCs w:val="32"/>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800"/>
        <w:gridCol w:w="3960"/>
      </w:tblGrid>
      <w:tr>
        <w:trPr>
          <w:tblHeader/>
        </w:trPr>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quality — Marigold outlier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Hrs_LPN = 13,946 for one facility on one day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Exclude row in dbt Silver model using WHERE clause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Cross-period correlation (M5)</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PBJ Q2 2024 vs VBP FY2022 — 18-month gap</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Label as structural association in dashboard, not causal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CMS schema changes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CMS adds columns quarterly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Iceberg schema evolution handles automatically</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Google Drive API rate limits</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Drive API has per-minute quotas</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Sequential file processing in Glue Shell stays well within limits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Athena cold query latency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2-10s per Athena query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DuckDB serves dashboard — Athena only used for analyst ad-hoc queries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Prefect Cloud dependency</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External SaaS for orchestration UI</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Can self-host Prefect server on EC2 if needed</w:t>
            </w:r>
          </w:p>
        </w:tc>
      </w:tr>
    </w:tbl>
    <w:p>
      <w:pPr>
        <w:spacing w:after="120"/>
      </w:pPr>
      <w:r>
        <w:t xml:space="preserve"/>
      </w:r>
    </w:p>
    <w:p>
      <w:pPr>
        <w:pStyle w:val="Heading1"/>
      </w:pPr>
      <w:r>
        <w:rPr>
          <w:rFonts w:ascii="Arial" w:cs="Arial" w:eastAsia="Arial" w:hAnsi="Arial"/>
          <w:b/>
          <w:bCs/>
          <w:sz w:val="32"/>
          <w:szCs w:val="32"/>
        </w:rPr>
        <w:t xml:space="preserve">10. Cost Estimate</w:t>
      </w:r>
    </w:p>
    <w:p>
      <w:pPr>
        <w:pStyle w:val="Heading2"/>
      </w:pPr>
      <w:r>
        <w:rPr>
          <w:rFonts w:ascii="Arial" w:cs="Arial" w:eastAsia="Arial" w:hAnsi="Arial"/>
          <w:b/>
          <w:bCs/>
          <w:sz w:val="28"/>
          <w:szCs w:val="28"/>
        </w:rPr>
        <w:t xml:space="preserve">Per pipeline run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556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Python Shell (ingestion)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0.0625 DPU × ~$0.44/hr × ~9 min per run × 15 files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Athena (dbt transforms)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~$0.003</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$5/TB × ~600MB Silver Parquet scanned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Storage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~$0.10/month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~4GB total across all layers at $0.023/GB</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DynamoDB (watermark table)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&lt;$0.01</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 rows, minimal read/write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Prefect Cloud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3 users and 20 concurrent runs on free tier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CloudWatch Logs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&lt;$0.01</w:t>
            </w:r>
          </w:p>
        </w:tc>
        <w:tc>
          <w:tcPr>
            <w:tcW w:type="dxa" w:w="5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Glue Shell log storage</w:t>
            </w:r>
          </w:p>
        </w:tc>
      </w:tr>
    </w:tbl>
    <w:p>
      <w:pPr>
        <w:spacing w:after="120"/>
      </w:pPr>
      <w:r>
        <w:t xml:space="preserve"/>
      </w:r>
    </w:p>
    <w:p>
      <w:pPr>
        <w:pStyle w:val="Heading1"/>
      </w:pPr>
      <w:r>
        <w:rPr>
          <w:rFonts w:ascii="Arial" w:cs="Arial" w:eastAsia="Arial" w:hAnsi="Arial"/>
          <w:b/>
          <w:bCs/>
          <w:sz w:val="32"/>
          <w:szCs w:val="32"/>
        </w:rPr>
        <w:t xml:space="preserve">11.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960"/>
      </w:tblGrid>
      <w:tr>
        <w:trPr>
          <w:tblHeader/>
        </w:trPr>
        <w:tc>
          <w:tcPr>
            <w:tcW w:type="dxa" w:w="18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60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2E5FA3" w:sz="2"/>
              <w:left w:val="single" w:color="2E5FA3" w:sz="2"/>
              <w:bottom w:val="single" w:color="2E5FA3" w:sz="2"/>
              <w:right w:val="single" w:color="2E5FA3" w:sz="2"/>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Version /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EventBridge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Ingestion</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Glue Python Shell</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Python 3.9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DynamoDB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On-demand</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Storage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S3</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Standard + Intelligent Tiering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format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Iceberg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Schema registry</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Glue Data Catalog</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Included with Glue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Transform engine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Athena</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Engine v3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 SaaS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 / Cloud free tier</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Dashboard engine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DuckDB</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1.x</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Analyst SQL</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Athena</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Engine v3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CloudWatch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Managed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r>
    </w:tbl>
    <w:p>
      <w:pPr>
        <w:spacing w:after="120"/>
      </w:pPr>
      <w:r>
        <w:t xml:space="preserve"/>
      </w:r>
    </w:p>
    <w:p>
      <w:pPr>
        <w:pStyle w:val="Heading1"/>
        <w:spacing w:before="360" w:after="200"/>
      </w:pPr>
      <w:r>
        <w:rPr>
          <w:rFonts w:ascii="Arial" w:hAnsi="Arial"/>
          <w:b/>
          <w:sz w:val="32"/>
          <w:color w:val="1F3864"/>
        </w:rPr>
        <w:t>DATA MODEL 12. Data Model</w:t>
      </w:r>
    </w:p>
    <w:p>
      <w:pPr>
        <w:spacing w:after="160"/>
      </w:pPr>
      <w:r>
        <w:rPr>
          <w:rFonts w:ascii="Arial" w:hAnsi="Arial"/>
          <w:sz w:val="22"/>
        </w:rPr>
        <w:t xml:space="preserve">The pipeline uses a star schema centred on a single fact table with four dimension tables in the Silver layer, and five pre-aggregated metric tables in the Gold layer. All transformations are expressed as dbt models running inside the data warehouse.</w:t>
      </w:r>
    </w:p>
    <w:p>
      <w:pPr>
        <w:pStyle w:val="Heading2"/>
        <w:spacing w:before="280" w:after="160"/>
      </w:pPr>
      <w:r>
        <w:rPr>
          <w:rFonts w:ascii="Arial" w:hAnsi="Arial"/>
          <w:b/>
          <w:sz w:val="28"/>
          <w:color w:val="2E5FA3"/>
        </w:rPr>
        <w:t>12.1 Design decisions</w:t>
      </w:r>
    </w:p>
    <w:p>
      <w:pPr>
        <w:numPr>
          <w:ilvl w:val="0"/>
          <w:numId w:val="1"/>
        </w:numPr>
        <w:spacing w:after="100"/>
      </w:pPr>
      <w:r>
        <w:rPr>
          <w:rFonts w:ascii="Arial" w:hAnsi="Arial"/>
          <w:sz w:val="22"/>
        </w:rPr>
        <w:t xml:space="preserve">Grain: fact_daily_staffing operates at facility + date grain, preserving full daily detail from PBJ. Gold metric tables aggregate to facility + month grain for M1 and M2, and facility grain for M3, M4, and M5.</w:t>
      </w:r>
    </w:p>
    <w:p>
      <w:pPr>
        <w:numPr>
          <w:ilvl w:val="0"/>
          <w:numId w:val="1"/>
        </w:numPr>
        <w:spacing w:after="100"/>
      </w:pPr>
      <w:r>
        <w:rPr>
          <w:rFonts w:ascii="Arial" w:hAnsi="Arial"/>
          <w:sz w:val="22"/>
        </w:rPr>
        <w:t xml:space="preserve">Star schema over wide flat table: separate dimension tables allow each metric to join only the attributes it needs, keep transformation logic clean, and support future additional metrics without redesigning the fact table.</w:t>
      </w:r>
    </w:p>
    <w:p>
      <w:pPr>
        <w:numPr>
          <w:ilvl w:val="0"/>
          <w:numId w:val="1"/>
        </w:numPr>
        <w:spacing w:after="100"/>
      </w:pPr>
      <w:r>
        <w:rPr>
          <w:rFonts w:ascii="Arial" w:hAnsi="Arial"/>
          <w:sz w:val="22"/>
        </w:rPr>
        <w:t xml:space="preserve">Surrogate keys (facility_sk, date_sk): integer surrogate keys decouple the fact table from natural key changes. Critically, surrogate keys enable Type 2 SCD on dim_facility -- each historical version of a facility row gets its own facility_sk, so fact rows join to the exact attribute values that were in effect on their work date.</w:t>
      </w:r>
    </w:p>
    <w:p>
      <w:pPr>
        <w:numPr>
          <w:ilvl w:val="0"/>
          <w:numId w:val="1"/>
        </w:numPr>
        <w:spacing w:after="100"/>
      </w:pPr>
      <w:r>
        <w:rPr>
          <w:rFonts w:ascii="Arial" w:hAnsi="Arial"/>
          <w:sz w:val="22"/>
        </w:rPr>
        <w:t xml:space="preserve">Wide flat table rejected: a single denormalised table joining all source columns produces ~200+ columns and makes it harder to track lineage. The star schema keeps each table focused on one subject area.</w:t>
      </w:r>
    </w:p>
    <w:p>
      <w:pPr>
        <w:pStyle w:val="Heading2"/>
        <w:spacing w:before="280" w:after="160"/>
      </w:pPr>
      <w:r>
        <w:rPr>
          <w:rFonts w:ascii="Arial" w:hAnsi="Arial"/>
          <w:b/>
          <w:sz w:val="28"/>
          <w:color w:val="2E5FA3"/>
        </w:rPr>
        <w:t>12.2 Fact table: fact_daily_staffing</w:t>
      </w:r>
    </w:p>
    <w:p>
      <w:pPr>
        <w:spacing w:after="160"/>
      </w:pPr>
      <w:r>
        <w:rPr>
          <w:rFonts w:ascii="Arial" w:hAnsi="Arial"/>
          <w:sz w:val="22"/>
        </w:rPr>
        <w:t xml:space="preserve">Grain: one row per facility (PROVNUM) per work date. Source: PBJ_Daily_Nurse_Staffing_Q2_2024.csv. Approximately 1.3 million rows per quarter.</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2600"/>
        <w:gridCol w:w="1800"/>
        <w:gridCol w:w="4960"/>
      </w:tblGrid>
      <w:tr>
        <w:trPr>
          <w:tblHeader/>
        </w:trPr>
        <w:tc>
          <w:tcPr>
            <w:tcW w:type="dxa" w:w="2600"/>
            <w:shd w:fill="2E5FA3" w:val="clear"/>
            <w:tcMar>
              <w:top w:type="dxa" w:w="80"/>
              <w:left w:type="dxa" w:w="120"/>
              <w:bottom w:type="dxa" w:w="80"/>
              <w:right w:type="dxa" w:w="120"/>
            </w:tcMar>
          </w:tcPr>
          <w:p>
            <w:r>
              <w:rPr>
                <w:rFonts w:ascii="Arial" w:hAnsi="Arial"/>
                <w:b/>
                <w:sz w:val="20"/>
                <w:color w:val="FFFFFF"/>
              </w:rPr>
              <w:t>Column</w:t>
            </w:r>
          </w:p>
        </w:tc>
        <w:tc>
          <w:tcPr>
            <w:tcW w:type="dxa" w:w="1800"/>
            <w:shd w:fill="2E5FA3" w:val="clear"/>
            <w:tcMar>
              <w:top w:type="dxa" w:w="80"/>
              <w:left w:type="dxa" w:w="120"/>
              <w:bottom w:type="dxa" w:w="80"/>
              <w:right w:type="dxa" w:w="120"/>
            </w:tcMar>
          </w:tcPr>
          <w:p>
            <w:r>
              <w:rPr>
                <w:rFonts w:ascii="Arial" w:hAnsi="Arial"/>
                <w:b/>
                <w:sz w:val="20"/>
                <w:color w:val="FFFFFF"/>
              </w:rPr>
              <w:t>Type</w:t>
            </w:r>
          </w:p>
        </w:tc>
        <w:tc>
          <w:tcPr>
            <w:tcW w:type="dxa" w:w="4960"/>
            <w:shd w:fill="2E5FA3" w:val="clear"/>
            <w:tcMar>
              <w:top w:type="dxa" w:w="80"/>
              <w:left w:type="dxa" w:w="120"/>
              <w:bottom w:type="dxa" w:w="80"/>
              <w:right w:type="dxa" w:w="120"/>
            </w:tcMar>
          </w:tcPr>
          <w:p>
            <w:r>
              <w:rPr>
                <w:rFonts w:ascii="Arial" w:hAnsi="Arial"/>
                <w:b/>
                <w:sz w:val="20"/>
                <w:color w:val="FFFFFF"/>
              </w:rPr>
              <w:t>Description</w:t>
            </w:r>
          </w:p>
        </w:tc>
      </w:tr>
      <w:tr>
        <w:tc>
          <w:tcPr>
            <w:tcW w:type="dxa" w:w="2600"/>
            <w:shd w:fill="FFFFFF" w:val="clear"/>
            <w:tcMar>
              <w:top w:type="dxa" w:w="80"/>
              <w:left w:type="dxa" w:w="120"/>
              <w:bottom w:type="dxa" w:w="80"/>
              <w:right w:type="dxa" w:w="120"/>
            </w:tcMar>
          </w:tcPr>
          <w:p>
            <w:r>
              <w:rPr>
                <w:rFonts w:ascii="Arial" w:hAnsi="Arial"/>
                <w:sz w:val="20"/>
              </w:rPr>
              <w:t>facility_sk</w:t>
            </w:r>
          </w:p>
        </w:tc>
        <w:tc>
          <w:tcPr>
            <w:tcW w:type="dxa" w:w="1800"/>
            <w:shd w:fill="FFFFFF" w:val="clear"/>
            <w:tcMar>
              <w:top w:type="dxa" w:w="80"/>
              <w:left w:type="dxa" w:w="120"/>
              <w:bottom w:type="dxa" w:w="80"/>
              <w:right w:type="dxa" w:w="120"/>
            </w:tcMar>
          </w:tcPr>
          <w:p>
            <w:r>
              <w:rPr>
                <w:rFonts w:ascii="Arial" w:hAnsi="Arial"/>
                <w:sz w:val="20"/>
              </w:rPr>
              <w:t>INTEGER FK</w:t>
            </w:r>
          </w:p>
        </w:tc>
        <w:tc>
          <w:tcPr>
            <w:tcW w:type="dxa" w:w="4960"/>
            <w:shd w:fill="FFFFFF" w:val="clear"/>
            <w:tcMar>
              <w:top w:type="dxa" w:w="80"/>
              <w:left w:type="dxa" w:w="120"/>
              <w:bottom w:type="dxa" w:w="80"/>
              <w:right w:type="dxa" w:w="120"/>
            </w:tcMar>
          </w:tcPr>
          <w:p>
            <w:r>
              <w:rPr>
                <w:rFonts w:ascii="Arial" w:hAnsi="Arial"/>
                <w:sz w:val="20"/>
              </w:rPr>
              <w:t>Surrogate key joining to dim_facility current or historical row</w:t>
            </w:r>
          </w:p>
        </w:tc>
      </w:tr>
      <w:tr>
        <w:tc>
          <w:tcPr>
            <w:tcW w:type="dxa" w:w="2600"/>
            <w:shd w:fill="EEF3FB" w:val="clear"/>
            <w:tcMar>
              <w:top w:type="dxa" w:w="80"/>
              <w:left w:type="dxa" w:w="120"/>
              <w:bottom w:type="dxa" w:w="80"/>
              <w:right w:type="dxa" w:w="120"/>
            </w:tcMar>
          </w:tcPr>
          <w:p>
            <w:r>
              <w:rPr>
                <w:rFonts w:ascii="Arial" w:hAnsi="Arial"/>
                <w:sz w:val="20"/>
              </w:rPr>
              <w:t>date_sk</w:t>
            </w:r>
          </w:p>
        </w:tc>
        <w:tc>
          <w:tcPr>
            <w:tcW w:type="dxa" w:w="1800"/>
            <w:shd w:fill="EEF3FB" w:val="clear"/>
            <w:tcMar>
              <w:top w:type="dxa" w:w="80"/>
              <w:left w:type="dxa" w:w="120"/>
              <w:bottom w:type="dxa" w:w="80"/>
              <w:right w:type="dxa" w:w="120"/>
            </w:tcMar>
          </w:tcPr>
          <w:p>
            <w:r>
              <w:rPr>
                <w:rFonts w:ascii="Arial" w:hAnsi="Arial"/>
                <w:sz w:val="20"/>
              </w:rPr>
              <w:t>INTEGER FK</w:t>
            </w:r>
          </w:p>
        </w:tc>
        <w:tc>
          <w:tcPr>
            <w:tcW w:type="dxa" w:w="4960"/>
            <w:shd w:fill="EEF3FB" w:val="clear"/>
            <w:tcMar>
              <w:top w:type="dxa" w:w="80"/>
              <w:left w:type="dxa" w:w="120"/>
              <w:bottom w:type="dxa" w:w="80"/>
              <w:right w:type="dxa" w:w="120"/>
            </w:tcMar>
          </w:tcPr>
          <w:p>
            <w:r>
              <w:rPr>
                <w:rFonts w:ascii="Arial" w:hAnsi="Arial"/>
                <w:sz w:val="20"/>
              </w:rPr>
              <w:t>Surrogate key joining to dim_date</w:t>
            </w:r>
          </w:p>
        </w:tc>
      </w:tr>
      <w:tr>
        <w:tc>
          <w:tcPr>
            <w:tcW w:type="dxa" w:w="2600"/>
            <w:shd w:fill="FFFFFF" w:val="clear"/>
            <w:tcMar>
              <w:top w:type="dxa" w:w="80"/>
              <w:left w:type="dxa" w:w="120"/>
              <w:bottom w:type="dxa" w:w="80"/>
              <w:right w:type="dxa" w:w="120"/>
            </w:tcMar>
          </w:tcPr>
          <w:p>
            <w:r>
              <w:rPr>
                <w:rFonts w:ascii="Arial" w:hAnsi="Arial"/>
                <w:sz w:val="20"/>
              </w:rPr>
              <w:t>mds_census</w:t>
            </w:r>
          </w:p>
        </w:tc>
        <w:tc>
          <w:tcPr>
            <w:tcW w:type="dxa" w:w="1800"/>
            <w:shd w:fill="FFFFFF" w:val="clear"/>
            <w:tcMar>
              <w:top w:type="dxa" w:w="80"/>
              <w:left w:type="dxa" w:w="120"/>
              <w:bottom w:type="dxa" w:w="80"/>
              <w:right w:type="dxa" w:w="120"/>
            </w:tcMar>
          </w:tcPr>
          <w:p>
            <w:r>
              <w:rPr>
                <w:rFonts w:ascii="Arial" w:hAnsi="Arial"/>
                <w:sz w:val="20"/>
              </w:rPr>
              <w:t>INTEGER</w:t>
            </w:r>
          </w:p>
        </w:tc>
        <w:tc>
          <w:tcPr>
            <w:tcW w:type="dxa" w:w="4960"/>
            <w:shd w:fill="FFFFFF" w:val="clear"/>
            <w:tcMar>
              <w:top w:type="dxa" w:w="80"/>
              <w:left w:type="dxa" w:w="120"/>
              <w:bottom w:type="dxa" w:w="80"/>
              <w:right w:type="dxa" w:w="120"/>
            </w:tcMar>
          </w:tcPr>
          <w:p>
            <w:r>
              <w:rPr>
                <w:rFonts w:ascii="Arial" w:hAnsi="Arial"/>
                <w:sz w:val="20"/>
              </w:rPr>
              <w:t>Daily resident count from MDS assessment. Rows where value = 0 excluded (320 rows identified in DQA).</w:t>
            </w:r>
          </w:p>
        </w:tc>
      </w:tr>
      <w:tr>
        <w:tc>
          <w:tcPr>
            <w:tcW w:type="dxa" w:w="2600"/>
            <w:shd w:fill="EEF3FB" w:val="clear"/>
            <w:tcMar>
              <w:top w:type="dxa" w:w="80"/>
              <w:left w:type="dxa" w:w="120"/>
              <w:bottom w:type="dxa" w:w="80"/>
              <w:right w:type="dxa" w:w="120"/>
            </w:tcMar>
          </w:tcPr>
          <w:p>
            <w:r>
              <w:rPr>
                <w:rFonts w:ascii="Arial" w:hAnsi="Arial"/>
                <w:sz w:val="20"/>
              </w:rPr>
              <w:t>hrs_rn / hrs_lpn / hrs_cna</w:t>
            </w:r>
          </w:p>
        </w:tc>
        <w:tc>
          <w:tcPr>
            <w:tcW w:type="dxa" w:w="1800"/>
            <w:shd w:fill="EEF3FB" w:val="clear"/>
            <w:tcMar>
              <w:top w:type="dxa" w:w="80"/>
              <w:left w:type="dxa" w:w="120"/>
              <w:bottom w:type="dxa" w:w="80"/>
              <w:right w:type="dxa" w:w="120"/>
            </w:tcMar>
          </w:tcPr>
          <w:p>
            <w:r>
              <w:rPr>
                <w:rFonts w:ascii="Arial" w:hAnsi="Arial"/>
                <w:sz w:val="20"/>
              </w:rPr>
              <w:t>FLOAT</w:t>
            </w:r>
          </w:p>
        </w:tc>
        <w:tc>
          <w:tcPr>
            <w:tcW w:type="dxa" w:w="4960"/>
            <w:shd w:fill="EEF3FB" w:val="clear"/>
            <w:tcMar>
              <w:top w:type="dxa" w:w="80"/>
              <w:left w:type="dxa" w:w="120"/>
              <w:bottom w:type="dxa" w:w="80"/>
              <w:right w:type="dxa" w:w="120"/>
            </w:tcMar>
          </w:tcPr>
          <w:p>
            <w:r>
              <w:rPr>
                <w:rFonts w:ascii="Arial" w:hAnsi="Arial"/>
                <w:sz w:val="20"/>
              </w:rPr>
              <w:t>Total hours by role. Zeros valid (role not staffed that day). Marigold outlier row excluded.</w:t>
            </w:r>
          </w:p>
        </w:tc>
      </w:tr>
      <w:tr>
        <w:tc>
          <w:tcPr>
            <w:tcW w:type="dxa" w:w="2600"/>
            <w:shd w:fill="FFFFFF" w:val="clear"/>
            <w:tcMar>
              <w:top w:type="dxa" w:w="80"/>
              <w:left w:type="dxa" w:w="120"/>
              <w:bottom w:type="dxa" w:w="80"/>
              <w:right w:type="dxa" w:w="120"/>
            </w:tcMar>
          </w:tcPr>
          <w:p>
            <w:r>
              <w:rPr>
                <w:rFonts w:ascii="Arial" w:hAnsi="Arial"/>
                <w:sz w:val="20"/>
              </w:rPr>
              <w:t>hrs_*_emp / hrs_*_ctr</w:t>
            </w:r>
          </w:p>
        </w:tc>
        <w:tc>
          <w:tcPr>
            <w:tcW w:type="dxa" w:w="1800"/>
            <w:shd w:fill="FFFFFF" w:val="clear"/>
            <w:tcMar>
              <w:top w:type="dxa" w:w="80"/>
              <w:left w:type="dxa" w:w="120"/>
              <w:bottom w:type="dxa" w:w="80"/>
              <w:right w:type="dxa" w:w="120"/>
            </w:tcMar>
          </w:tcPr>
          <w:p>
            <w:r>
              <w:rPr>
                <w:rFonts w:ascii="Arial" w:hAnsi="Arial"/>
                <w:sz w:val="20"/>
              </w:rPr>
              <w:t>FLOAT</w:t>
            </w:r>
          </w:p>
        </w:tc>
        <w:tc>
          <w:tcPr>
            <w:tcW w:type="dxa" w:w="4960"/>
            <w:shd w:fill="FFFFFF" w:val="clear"/>
            <w:tcMar>
              <w:top w:type="dxa" w:w="80"/>
              <w:left w:type="dxa" w:w="120"/>
              <w:bottom w:type="dxa" w:w="80"/>
              <w:right w:type="dxa" w:w="120"/>
            </w:tcMar>
          </w:tcPr>
          <w:p>
            <w:r>
              <w:rPr>
                <w:rFonts w:ascii="Arial" w:hAnsi="Arial"/>
                <w:sz w:val="20"/>
              </w:rPr>
              <w:t>Employed vs contract split per role. Used for M3 contract ratio metric.</w:t>
            </w:r>
          </w:p>
        </w:tc>
      </w:tr>
      <w:tr>
        <w:tc>
          <w:tcPr>
            <w:tcW w:type="dxa" w:w="2600"/>
            <w:shd w:fill="EEF3FB" w:val="clear"/>
            <w:tcMar>
              <w:top w:type="dxa" w:w="80"/>
              <w:left w:type="dxa" w:w="120"/>
              <w:bottom w:type="dxa" w:w="80"/>
              <w:right w:type="dxa" w:w="120"/>
            </w:tcMar>
          </w:tcPr>
          <w:p>
            <w:r>
              <w:rPr>
                <w:rFonts w:ascii="Arial" w:hAnsi="Arial"/>
                <w:sz w:val="20"/>
              </w:rPr>
              <w:t>nurse_ratio (derived)</w:t>
            </w:r>
          </w:p>
        </w:tc>
        <w:tc>
          <w:tcPr>
            <w:tcW w:type="dxa" w:w="1800"/>
            <w:shd w:fill="EEF3FB" w:val="clear"/>
            <w:tcMar>
              <w:top w:type="dxa" w:w="80"/>
              <w:left w:type="dxa" w:w="120"/>
              <w:bottom w:type="dxa" w:w="80"/>
              <w:right w:type="dxa" w:w="120"/>
            </w:tcMar>
          </w:tcPr>
          <w:p>
            <w:r>
              <w:rPr>
                <w:rFonts w:ascii="Arial" w:hAnsi="Arial"/>
                <w:sz w:val="20"/>
              </w:rPr>
              <w:t>FLOAT</w:t>
            </w:r>
          </w:p>
        </w:tc>
        <w:tc>
          <w:tcPr>
            <w:tcW w:type="dxa" w:w="4960"/>
            <w:shd w:fill="EEF3FB" w:val="clear"/>
            <w:tcMar>
              <w:top w:type="dxa" w:w="80"/>
              <w:left w:type="dxa" w:w="120"/>
              <w:bottom w:type="dxa" w:w="80"/>
              <w:right w:type="dxa" w:w="120"/>
            </w:tcMar>
          </w:tcPr>
          <w:p>
            <w:r>
              <w:rPr>
                <w:rFonts w:ascii="Arial" w:hAnsi="Arial"/>
                <w:sz w:val="20"/>
              </w:rPr>
              <w:t>(hrs_rn + hrs_lpn + hrs_cna) / mds_census. NULL when census = 0.</w:t>
            </w:r>
          </w:p>
        </w:tc>
      </w:tr>
      <w:tr>
        <w:tc>
          <w:tcPr>
            <w:tcW w:type="dxa" w:w="2600"/>
            <w:shd w:fill="FFFFFF" w:val="clear"/>
            <w:tcMar>
              <w:top w:type="dxa" w:w="80"/>
              <w:left w:type="dxa" w:w="120"/>
              <w:bottom w:type="dxa" w:w="80"/>
              <w:right w:type="dxa" w:w="120"/>
            </w:tcMar>
          </w:tcPr>
          <w:p>
            <w:r>
              <w:rPr>
                <w:rFonts w:ascii="Arial" w:hAnsi="Arial"/>
                <w:sz w:val="20"/>
              </w:rPr>
              <w:t>contract_pct (derived)</w:t>
            </w:r>
          </w:p>
        </w:tc>
        <w:tc>
          <w:tcPr>
            <w:tcW w:type="dxa" w:w="1800"/>
            <w:shd w:fill="FFFFFF" w:val="clear"/>
            <w:tcMar>
              <w:top w:type="dxa" w:w="80"/>
              <w:left w:type="dxa" w:w="120"/>
              <w:bottom w:type="dxa" w:w="80"/>
              <w:right w:type="dxa" w:w="120"/>
            </w:tcMar>
          </w:tcPr>
          <w:p>
            <w:r>
              <w:rPr>
                <w:rFonts w:ascii="Arial" w:hAnsi="Arial"/>
                <w:sz w:val="20"/>
              </w:rPr>
              <w:t>FLOAT</w:t>
            </w:r>
          </w:p>
        </w:tc>
        <w:tc>
          <w:tcPr>
            <w:tcW w:type="dxa" w:w="4960"/>
            <w:shd w:fill="FFFFFF" w:val="clear"/>
            <w:tcMar>
              <w:top w:type="dxa" w:w="80"/>
              <w:left w:type="dxa" w:w="120"/>
              <w:bottom w:type="dxa" w:w="80"/>
              <w:right w:type="dxa" w:w="120"/>
            </w:tcMar>
          </w:tcPr>
          <w:p>
            <w:r>
              <w:rPr>
                <w:rFonts w:ascii="Arial" w:hAnsi="Arial"/>
                <w:sz w:val="20"/>
              </w:rPr>
              <w:t>sum(_ctr cols) / sum(all hrs cols). Flagged as high when above 0.30.</w:t>
            </w:r>
          </w:p>
        </w:tc>
      </w:tr>
    </w:tbl>
    <w:p>
      <w:pPr>
        <w:spacing w:after="160"/>
      </w:pPr>
      <w:r>
        <w:rPr>
          <w:sz w:val="22"/>
        </w:rPr>
        <w:t xml:space="preserve"/>
      </w:r>
    </w:p>
    <w:p>
      <w:pPr>
        <w:pStyle w:val="Heading2"/>
        <w:spacing w:before="280" w:after="160"/>
      </w:pPr>
      <w:r>
        <w:rPr>
          <w:rFonts w:ascii="Arial" w:hAnsi="Arial"/>
          <w:b/>
          <w:sz w:val="28"/>
          <w:color w:val="2E5FA3"/>
        </w:rPr>
        <w:t>12.3 dim_facility -- Type 2 SCD</w:t>
      </w:r>
    </w:p>
    <w:p>
      <w:pPr>
        <w:spacing w:after="160"/>
      </w:pPr>
      <w:r>
        <w:rPr>
          <w:rFonts w:ascii="Arial" w:hAnsi="Arial"/>
          <w:sz w:val="22"/>
        </w:rPr>
        <w:t xml:space="preserve">Source: NH_ProviderInfo_Oct2024. Refreshed monthly. Implemented as a dbt snapshot using the check strategy -- dbt compares the current ProviderInfo snapshot against the previous version on provnum as the natural key. When any tracked column changes (overall_rating, staffing_rating, qm_rating, certified_beds, provider_type, ownership_type), dbt closes the old row by setting dbt_valid_to to today and inserts a new row with dbt_valid_from set to today.</w:t>
      </w:r>
    </w:p>
    <w:p>
      <w:pPr>
        <w:spacing w:after="160"/>
      </w:pPr>
      <w:r>
        <w:rPr>
          <w:rFonts w:ascii="Arial" w:hAnsi="Arial"/>
          <w:sz w:val="22"/>
        </w:rPr>
        <w:t xml:space="preserve">Key SCD columns added by dbt automatically: dbt_scd_id (row hash), dbt_valid_from (row effective start date), dbt_valid_to (NULL = currently active), dbt_updated_at, is_current (derived boolean).</w:t>
      </w:r>
    </w:p>
    <w:p>
      <w:pPr>
        <w:spacing w:after="160"/>
      </w:pPr>
      <w:r>
        <w:rPr>
          <w:rFonts w:ascii="Arial" w:hAnsi="Arial"/>
          <w:sz w:val="22"/>
        </w:rPr>
        <w:t xml:space="preserve">Why Type 2 over Type 1: joining current ratings to historical Q2 2024 staffing facts would be temporally incorrect. A facility whose star rating changed between Q2 2024 and October 2024 would be misrepresented in M5 correlation analysis. Type 2 ensures each fact row is joined to the facility attributes that were in effect on its work date.</w:t>
      </w:r>
    </w:p>
    <w:p>
      <w:pPr>
        <w:spacing w:after="160"/>
      </w:pPr>
      <w:r>
        <w:rPr>
          <w:rFonts w:ascii="Arial" w:hAnsi="Arial"/>
          <w:sz w:val="22"/>
        </w:rPr>
        <w:t xml:space="preserve">Join pattern for temporally correct analysis: JOIN dim_facility d ON f.work_date BETWEEN d.dbt_valid_from AND COALESCE(d.dbt_valid_to, ‘9999-12-31’). For current-state dashboard views: WHERE d.is_current = TRUE.</w:t>
      </w:r>
    </w:p>
    <w:p>
      <w:pPr>
        <w:pStyle w:val="Heading2"/>
        <w:spacing w:before="280" w:after="160"/>
      </w:pPr>
      <w:r>
        <w:rPr>
          <w:rFonts w:ascii="Arial" w:hAnsi="Arial"/>
          <w:b/>
          <w:sz w:val="28"/>
          <w:color w:val="2E5FA3"/>
        </w:rPr>
        <w:t>12.4 Supporting dimensions</w:t>
      </w:r>
    </w:p>
    <w:p>
      <w:pPr>
        <w:numPr>
          <w:ilvl w:val="0"/>
          <w:numId w:val="1"/>
        </w:numPr>
        <w:spacing w:after="100"/>
      </w:pPr>
      <w:r>
        <w:rPr>
          <w:rFonts w:ascii="Arial" w:hAnsi="Arial"/>
          <w:sz w:val="22"/>
        </w:rPr>
        <w:t xml:space="preserve">dim_date: pre-populated date dimension covering all dates from 2020 onwards. Columns: date_sk (PK), full_date, year, quarter, month, month_name, day_of_week, is_weekend, cy_quarter. The is_weekend flag directly supports M1 -- CMS separately reports weekend staffing ratios which are consistently lower than weekday ratios and are a regulatory concern. Type 1 (no history needed -- dates never change).</w:t>
      </w:r>
    </w:p>
    <w:p>
      <w:pPr>
        <w:numPr>
          <w:ilvl w:val="0"/>
          <w:numId w:val="1"/>
        </w:numPr>
        <w:spacing w:after="100"/>
      </w:pPr>
      <w:r>
        <w:rPr>
          <w:rFonts w:ascii="Arial" w:hAnsi="Arial"/>
          <w:sz w:val="22"/>
        </w:rPr>
        <w:t xml:space="preserve">dim_readmission: one row per facility from SNF_VBP_Facility_Performance. Contains baseline_rsrr, performance_rsrr, achievement_score, performance_score, vbp_ranking, measure_period. Type 1 (VBP updates annually -- no intra-year changes). Note: only 10,595 of 14,564 PBJ facilities appear in VBP (facilities need 25+ eligible Medicare stays). M5 covers this subset only.</w:t>
      </w:r>
    </w:p>
    <w:p>
      <w:pPr>
        <w:numPr>
          <w:ilvl w:val="0"/>
          <w:numId w:val="1"/>
        </w:numPr>
        <w:spacing w:after="100"/>
      </w:pPr>
      <w:r>
        <w:rPr>
          <w:rFonts w:ascii="Arial" w:hAnsi="Arial"/>
          <w:sz w:val="22"/>
        </w:rPr>
        <w:t xml:space="preserve">dim_penalty: pre-aggregated from NH_Penalties (which is one row per penalty event). A dbt intermediate model groups by CCN first: total_fines (count), total_fine_amount (sum), payment_denials (count), total_penalties (count), has_penalty (boolean), high_fine_flag (top quartile by fine amount). Type 1 -- current penalty summary only.</w:t>
      </w:r>
    </w:p>
    <w:p>
      <w:pPr>
        <w:pStyle w:val="Heading2"/>
        <w:spacing w:before="280" w:after="160"/>
      </w:pPr>
      <w:r>
        <w:rPr>
          <w:rFonts w:ascii="Arial" w:hAnsi="Arial"/>
          <w:b/>
          <w:sz w:val="28"/>
          <w:color w:val="2E5FA3"/>
        </w:rPr>
        <w:t>12.5 Gold metric tables</w:t>
      </w:r>
    </w:p>
    <w:p>
      <w:pPr>
        <w:spacing w:after="160"/>
      </w:pPr>
      <w:r>
        <w:rPr>
          <w:rFonts w:ascii="Arial" w:hAnsi="Arial"/>
          <w:sz w:val="22"/>
        </w:rPr>
        <w:t xml:space="preserve">All Gold tables are produced by dbt mart models aggregating from fact_daily_staffing joined to the relevant dimensions. Each is materialised as a table (not a view) for dashboard query performance.</w:t>
      </w:r>
    </w:p>
    <w:tbl>
      <w:tblPr>
        <w:tblW w:type="dxa" w:w="9360"/>
        <w:tblBorders>
          <w:top w:val="single" w:sz="1" w:color="CCCCCC"/>
          <w:left w:val="single" w:sz="1" w:color="CCCCCC"/>
          <w:bottom w:val="single" w:sz="1" w:color="CCCCCC"/>
          <w:right w:val="single" w:sz="1" w:color="CCCCCC"/>
          <w:insideH w:val="single" w:sz="1" w:color="CCCCCC"/>
          <w:insideV w:val="single" w:sz="1" w:color="CCCCCC"/>
        </w:tblBorders>
      </w:tblPr>
      <w:tblGrid>
        <w:gridCol w:w="1600"/>
        <w:gridCol w:w="2000"/>
        <w:gridCol w:w="1600"/>
        <w:gridCol w:w="4160"/>
      </w:tblGrid>
      <w:tr>
        <w:trPr>
          <w:tblHeader/>
        </w:trPr>
        <w:tc>
          <w:tcPr>
            <w:tcW w:type="dxa" w:w="1600"/>
            <w:shd w:fill="2E5FA3" w:val="clear"/>
            <w:tcMar>
              <w:top w:type="dxa" w:w="80"/>
              <w:left w:type="dxa" w:w="120"/>
              <w:bottom w:type="dxa" w:w="80"/>
              <w:right w:type="dxa" w:w="120"/>
            </w:tcMar>
          </w:tcPr>
          <w:p>
            <w:r>
              <w:rPr>
                <w:rFonts w:ascii="Arial" w:hAnsi="Arial"/>
                <w:b/>
                <w:sz w:val="20"/>
                <w:color w:val="FFFFFF"/>
              </w:rPr>
              <w:t>Table</w:t>
            </w:r>
          </w:p>
        </w:tc>
        <w:tc>
          <w:tcPr>
            <w:tcW w:type="dxa" w:w="2000"/>
            <w:shd w:fill="2E5FA3" w:val="clear"/>
            <w:tcMar>
              <w:top w:type="dxa" w:w="80"/>
              <w:left w:type="dxa" w:w="120"/>
              <w:bottom w:type="dxa" w:w="80"/>
              <w:right w:type="dxa" w:w="120"/>
            </w:tcMar>
          </w:tcPr>
          <w:p>
            <w:r>
              <w:rPr>
                <w:rFonts w:ascii="Arial" w:hAnsi="Arial"/>
                <w:b/>
                <w:sz w:val="20"/>
                <w:color w:val="FFFFFF"/>
              </w:rPr>
              <w:t>Grain</w:t>
            </w:r>
          </w:p>
        </w:tc>
        <w:tc>
          <w:tcPr>
            <w:tcW w:type="dxa" w:w="1600"/>
            <w:shd w:fill="2E5FA3" w:val="clear"/>
            <w:tcMar>
              <w:top w:type="dxa" w:w="80"/>
              <w:left w:type="dxa" w:w="120"/>
              <w:bottom w:type="dxa" w:w="80"/>
              <w:right w:type="dxa" w:w="120"/>
            </w:tcMar>
          </w:tcPr>
          <w:p>
            <w:r>
              <w:rPr>
                <w:rFonts w:ascii="Arial" w:hAnsi="Arial"/>
                <w:b/>
                <w:sz w:val="20"/>
                <w:color w:val="FFFFFF"/>
              </w:rPr>
              <w:t>Key output columns</w:t>
            </w:r>
          </w:p>
        </w:tc>
        <w:tc>
          <w:tcPr>
            <w:tcW w:type="dxa" w:w="4160"/>
            <w:shd w:fill="2E5FA3" w:val="clear"/>
            <w:tcMar>
              <w:top w:type="dxa" w:w="80"/>
              <w:left w:type="dxa" w:w="120"/>
              <w:bottom w:type="dxa" w:w="80"/>
              <w:right w:type="dxa" w:w="120"/>
            </w:tcMar>
          </w:tcPr>
          <w:p>
            <w:r>
              <w:rPr>
                <w:rFonts w:ascii="Arial" w:hAnsi="Arial"/>
                <w:b/>
                <w:sz w:val="20"/>
                <w:color w:val="FFFFFF"/>
              </w:rPr>
              <w:t>Business question answered</w:t>
            </w:r>
          </w:p>
        </w:tc>
      </w:tr>
      <w:tr>
        <w:tc>
          <w:tcPr>
            <w:tcW w:type="dxa" w:w="1600"/>
            <w:shd w:fill="FFFFFF" w:val="clear"/>
            <w:tcMar>
              <w:top w:type="dxa" w:w="80"/>
              <w:left w:type="dxa" w:w="120"/>
              <w:bottom w:type="dxa" w:w="80"/>
              <w:right w:type="dxa" w:w="120"/>
            </w:tcMar>
          </w:tcPr>
          <w:p>
            <w:r>
              <w:rPr>
                <w:rFonts w:ascii="Arial" w:hAnsi="Arial"/>
                <w:sz w:val="20"/>
              </w:rPr>
              <w:t>m1_nurse_ratio</w:t>
            </w:r>
          </w:p>
        </w:tc>
        <w:tc>
          <w:tcPr>
            <w:tcW w:type="dxa" w:w="2000"/>
            <w:shd w:fill="FFFFFF" w:val="clear"/>
            <w:tcMar>
              <w:top w:type="dxa" w:w="80"/>
              <w:left w:type="dxa" w:w="120"/>
              <w:bottom w:type="dxa" w:w="80"/>
              <w:right w:type="dxa" w:w="120"/>
            </w:tcMar>
          </w:tcPr>
          <w:p>
            <w:r>
              <w:rPr>
                <w:rFonts w:ascii="Arial" w:hAnsi="Arial"/>
                <w:sz w:val="20"/>
              </w:rPr>
              <w:t>Facility + month</w:t>
            </w:r>
          </w:p>
        </w:tc>
        <w:tc>
          <w:tcPr>
            <w:tcW w:type="dxa" w:w="1600"/>
            <w:shd w:fill="FFFFFF" w:val="clear"/>
            <w:tcMar>
              <w:top w:type="dxa" w:w="80"/>
              <w:left w:type="dxa" w:w="120"/>
              <w:bottom w:type="dxa" w:w="80"/>
              <w:right w:type="dxa" w:w="120"/>
            </w:tcMar>
          </w:tcPr>
          <w:p>
            <w:r>
              <w:rPr>
                <w:rFonts w:ascii="Arial" w:hAnsi="Arial"/>
                <w:sz w:val="20"/>
              </w:rPr>
              <w:t>avg_nurse_ratio, low_staffing_flag</w:t>
            </w:r>
          </w:p>
        </w:tc>
        <w:tc>
          <w:tcPr>
            <w:tcW w:type="dxa" w:w="4160"/>
            <w:shd w:fill="FFFFFF" w:val="clear"/>
            <w:tcMar>
              <w:top w:type="dxa" w:w="80"/>
              <w:left w:type="dxa" w:w="120"/>
              <w:bottom w:type="dxa" w:w="80"/>
              <w:right w:type="dxa" w:w="120"/>
            </w:tcMar>
          </w:tcPr>
          <w:p>
            <w:r>
              <w:rPr>
                <w:rFonts w:ascii="Arial" w:hAnsi="Arial"/>
                <w:sz w:val="20"/>
              </w:rPr>
              <w:t>Average staffing levels by facility, state, and provider type</w:t>
            </w:r>
          </w:p>
        </w:tc>
      </w:tr>
      <w:tr>
        <w:tc>
          <w:tcPr>
            <w:tcW w:type="dxa" w:w="1600"/>
            <w:shd w:fill="EEF3FB" w:val="clear"/>
            <w:tcMar>
              <w:top w:type="dxa" w:w="80"/>
              <w:left w:type="dxa" w:w="120"/>
              <w:bottom w:type="dxa" w:w="80"/>
              <w:right w:type="dxa" w:w="120"/>
            </w:tcMar>
          </w:tcPr>
          <w:p>
            <w:r>
              <w:rPr>
                <w:rFonts w:ascii="Arial" w:hAnsi="Arial"/>
                <w:sz w:val="20"/>
              </w:rPr>
              <w:t>m2_total_hours</w:t>
            </w:r>
          </w:p>
        </w:tc>
        <w:tc>
          <w:tcPr>
            <w:tcW w:type="dxa" w:w="2000"/>
            <w:shd w:fill="EEF3FB" w:val="clear"/>
            <w:tcMar>
              <w:top w:type="dxa" w:w="80"/>
              <w:left w:type="dxa" w:w="120"/>
              <w:bottom w:type="dxa" w:w="80"/>
              <w:right w:type="dxa" w:w="120"/>
            </w:tcMar>
          </w:tcPr>
          <w:p>
            <w:r>
              <w:rPr>
                <w:rFonts w:ascii="Arial" w:hAnsi="Arial"/>
                <w:sz w:val="20"/>
              </w:rPr>
              <w:t>Facility + month</w:t>
            </w:r>
          </w:p>
        </w:tc>
        <w:tc>
          <w:tcPr>
            <w:tcW w:type="dxa" w:w="1600"/>
            <w:shd w:fill="EEF3FB" w:val="clear"/>
            <w:tcMar>
              <w:top w:type="dxa" w:w="80"/>
              <w:left w:type="dxa" w:w="120"/>
              <w:bottom w:type="dxa" w:w="80"/>
              <w:right w:type="dxa" w:w="120"/>
            </w:tcMar>
          </w:tcPr>
          <w:p>
            <w:r>
              <w:rPr>
                <w:rFonts w:ascii="Arial" w:hAnsi="Arial"/>
                <w:sz w:val="20"/>
              </w:rPr>
              <w:t>total_rn_hrs, total_lpn_hrs, total_cna_hrs</w:t>
            </w:r>
          </w:p>
        </w:tc>
        <w:tc>
          <w:tcPr>
            <w:tcW w:type="dxa" w:w="4160"/>
            <w:shd w:fill="EEF3FB" w:val="clear"/>
            <w:tcMar>
              <w:top w:type="dxa" w:w="80"/>
              <w:left w:type="dxa" w:w="120"/>
              <w:bottom w:type="dxa" w:w="80"/>
              <w:right w:type="dxa" w:w="120"/>
            </w:tcMar>
          </w:tcPr>
          <w:p>
            <w:r>
              <w:rPr>
                <w:rFonts w:ascii="Arial" w:hAnsi="Arial"/>
                <w:sz w:val="20"/>
              </w:rPr>
              <w:t>Total nursing hours by state and month with role breakdown</w:t>
            </w:r>
          </w:p>
        </w:tc>
      </w:tr>
      <w:tr>
        <w:tc>
          <w:tcPr>
            <w:tcW w:type="dxa" w:w="1600"/>
            <w:shd w:fill="FFFFFF" w:val="clear"/>
            <w:tcMar>
              <w:top w:type="dxa" w:w="80"/>
              <w:left w:type="dxa" w:w="120"/>
              <w:bottom w:type="dxa" w:w="80"/>
              <w:right w:type="dxa" w:w="120"/>
            </w:tcMar>
          </w:tcPr>
          <w:p>
            <w:r>
              <w:rPr>
                <w:rFonts w:ascii="Arial" w:hAnsi="Arial"/>
                <w:sz w:val="20"/>
              </w:rPr>
              <w:t>m3_contract_ratio</w:t>
            </w:r>
          </w:p>
        </w:tc>
        <w:tc>
          <w:tcPr>
            <w:tcW w:type="dxa" w:w="2000"/>
            <w:shd w:fill="FFFFFF" w:val="clear"/>
            <w:tcMar>
              <w:top w:type="dxa" w:w="80"/>
              <w:left w:type="dxa" w:w="120"/>
              <w:bottom w:type="dxa" w:w="80"/>
              <w:right w:type="dxa" w:w="120"/>
            </w:tcMar>
          </w:tcPr>
          <w:p>
            <w:r>
              <w:rPr>
                <w:rFonts w:ascii="Arial" w:hAnsi="Arial"/>
                <w:sz w:val="20"/>
              </w:rPr>
              <w:t>Facility (Q2 2024)</w:t>
            </w:r>
          </w:p>
        </w:tc>
        <w:tc>
          <w:tcPr>
            <w:tcW w:type="dxa" w:w="1600"/>
            <w:shd w:fill="FFFFFF" w:val="clear"/>
            <w:tcMar>
              <w:top w:type="dxa" w:w="80"/>
              <w:left w:type="dxa" w:w="120"/>
              <w:bottom w:type="dxa" w:w="80"/>
              <w:right w:type="dxa" w:w="120"/>
            </w:tcMar>
          </w:tcPr>
          <w:p>
            <w:r>
              <w:rPr>
                <w:rFonts w:ascii="Arial" w:hAnsi="Arial"/>
                <w:sz w:val="20"/>
              </w:rPr>
              <w:t>contract_pct, high_contract_flag</w:t>
            </w:r>
          </w:p>
        </w:tc>
        <w:tc>
          <w:tcPr>
            <w:tcW w:type="dxa" w:w="4160"/>
            <w:shd w:fill="FFFFFF" w:val="clear"/>
            <w:tcMar>
              <w:top w:type="dxa" w:w="80"/>
              <w:left w:type="dxa" w:w="120"/>
              <w:bottom w:type="dxa" w:w="80"/>
              <w:right w:type="dxa" w:w="120"/>
            </w:tcMar>
          </w:tcPr>
          <w:p>
            <w:r>
              <w:rPr>
                <w:rFonts w:ascii="Arial" w:hAnsi="Arial"/>
                <w:sz w:val="20"/>
              </w:rPr>
              <w:t>Ratio of permanent to contract staff per facility</w:t>
            </w:r>
          </w:p>
        </w:tc>
      </w:tr>
      <w:tr>
        <w:tc>
          <w:tcPr>
            <w:tcW w:type="dxa" w:w="1600"/>
            <w:shd w:fill="EEF3FB" w:val="clear"/>
            <w:tcMar>
              <w:top w:type="dxa" w:w="80"/>
              <w:left w:type="dxa" w:w="120"/>
              <w:bottom w:type="dxa" w:w="80"/>
              <w:right w:type="dxa" w:w="120"/>
            </w:tcMar>
          </w:tcPr>
          <w:p>
            <w:r>
              <w:rPr>
                <w:rFonts w:ascii="Arial" w:hAnsi="Arial"/>
                <w:sz w:val="20"/>
              </w:rPr>
              <w:t>m4_occupancy</w:t>
            </w:r>
          </w:p>
        </w:tc>
        <w:tc>
          <w:tcPr>
            <w:tcW w:type="dxa" w:w="2000"/>
            <w:shd w:fill="EEF3FB" w:val="clear"/>
            <w:tcMar>
              <w:top w:type="dxa" w:w="80"/>
              <w:left w:type="dxa" w:w="120"/>
              <w:bottom w:type="dxa" w:w="80"/>
              <w:right w:type="dxa" w:w="120"/>
            </w:tcMar>
          </w:tcPr>
          <w:p>
            <w:r>
              <w:rPr>
                <w:rFonts w:ascii="Arial" w:hAnsi="Arial"/>
                <w:sz w:val="20"/>
              </w:rPr>
              <w:t>Facility (Q2 2024)</w:t>
            </w:r>
          </w:p>
        </w:tc>
        <w:tc>
          <w:tcPr>
            <w:tcW w:type="dxa" w:w="1600"/>
            <w:shd w:fill="EEF3FB" w:val="clear"/>
            <w:tcMar>
              <w:top w:type="dxa" w:w="80"/>
              <w:left w:type="dxa" w:w="120"/>
              <w:bottom w:type="dxa" w:w="80"/>
              <w:right w:type="dxa" w:w="120"/>
            </w:tcMar>
          </w:tcPr>
          <w:p>
            <w:r>
              <w:rPr>
                <w:rFonts w:ascii="Arial" w:hAnsi="Arial"/>
                <w:sz w:val="20"/>
              </w:rPr>
              <w:t>occupancy_rate_pct, throughput_rank</w:t>
            </w:r>
          </w:p>
        </w:tc>
        <w:tc>
          <w:tcPr>
            <w:tcW w:type="dxa" w:w="4160"/>
            <w:shd w:fill="EEF3FB" w:val="clear"/>
            <w:tcMar>
              <w:top w:type="dxa" w:w="80"/>
              <w:left w:type="dxa" w:w="120"/>
              <w:bottom w:type="dxa" w:w="80"/>
              <w:right w:type="dxa" w:w="120"/>
            </w:tcMar>
          </w:tcPr>
          <w:p>
            <w:r>
              <w:rPr>
                <w:rFonts w:ascii="Arial" w:hAnsi="Arial"/>
                <w:sz w:val="20"/>
              </w:rPr>
              <w:t>Occupancy rates and top 10 facilities by patient throughput</w:t>
            </w:r>
          </w:p>
        </w:tc>
      </w:tr>
      <w:tr>
        <w:tc>
          <w:tcPr>
            <w:tcW w:type="dxa" w:w="1600"/>
            <w:shd w:fill="FFFFFF" w:val="clear"/>
            <w:tcMar>
              <w:top w:type="dxa" w:w="80"/>
              <w:left w:type="dxa" w:w="120"/>
              <w:bottom w:type="dxa" w:w="80"/>
              <w:right w:type="dxa" w:w="120"/>
            </w:tcMar>
          </w:tcPr>
          <w:p>
            <w:r>
              <w:rPr>
                <w:rFonts w:ascii="Arial" w:hAnsi="Arial"/>
                <w:sz w:val="20"/>
              </w:rPr>
              <w:t>m5_readmission_staffing</w:t>
            </w:r>
          </w:p>
        </w:tc>
        <w:tc>
          <w:tcPr>
            <w:tcW w:type="dxa" w:w="2000"/>
            <w:shd w:fill="FFFFFF" w:val="clear"/>
            <w:tcMar>
              <w:top w:type="dxa" w:w="80"/>
              <w:left w:type="dxa" w:w="120"/>
              <w:bottom w:type="dxa" w:w="80"/>
              <w:right w:type="dxa" w:w="120"/>
            </w:tcMar>
          </w:tcPr>
          <w:p>
            <w:r>
              <w:rPr>
                <w:rFonts w:ascii="Arial" w:hAnsi="Arial"/>
                <w:sz w:val="20"/>
              </w:rPr>
              <w:t>Facility (cross-period)</w:t>
            </w:r>
          </w:p>
        </w:tc>
        <w:tc>
          <w:tcPr>
            <w:tcW w:type="dxa" w:w="1600"/>
            <w:shd w:fill="FFFFFF" w:val="clear"/>
            <w:tcMar>
              <w:top w:type="dxa" w:w="80"/>
              <w:left w:type="dxa" w:w="120"/>
              <w:bottom w:type="dxa" w:w="80"/>
              <w:right w:type="dxa" w:w="120"/>
            </w:tcMar>
          </w:tcPr>
          <w:p>
            <w:r>
              <w:rPr>
                <w:rFonts w:ascii="Arial" w:hAnsi="Arial"/>
                <w:sz w:val="20"/>
              </w:rPr>
              <w:t>staffing_quartile, pearson_r, risk_score</w:t>
            </w:r>
          </w:p>
        </w:tc>
        <w:tc>
          <w:tcPr>
            <w:tcW w:type="dxa" w:w="4160"/>
            <w:shd w:fill="FFFFFF" w:val="clear"/>
            <w:tcMar>
              <w:top w:type="dxa" w:w="80"/>
              <w:left w:type="dxa" w:w="120"/>
              <w:bottom w:type="dxa" w:w="80"/>
              <w:right w:type="dxa" w:w="120"/>
            </w:tcMar>
          </w:tcPr>
          <w:p>
            <w:r>
              <w:rPr>
                <w:rFonts w:ascii="Arial" w:hAnsi="Arial"/>
                <w:sz w:val="20"/>
              </w:rPr>
              <w:t>Relationship between staffing levels and readmission rates. Cross-period: PBJ Q2 2024 vs VBP FY2022 -- structural association only, not causal.</w:t>
            </w:r>
          </w:p>
        </w:tc>
      </w:tr>
    </w:tbl>
    <w:p>
      <w:pPr>
        <w:spacing w:after="160"/>
      </w:pPr>
      <w:r>
        <w:rPr>
          <w:sz w:val="22"/>
        </w:rP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026"/>
      </w:tabs>
    </w:pPr>
    <w:r>
      <w:rPr>
        <w:rFonts w:ascii="Arial" w:cs="Arial" w:eastAsia="Arial" w:hAnsi="Arial"/>
        <w:color w:val="666666"/>
        <w:sz w:val="18"/>
        <w:szCs w:val="18"/>
      </w:rPr>
      <w:t xml:space="preserve">Clipboard Health — Healthcare Metrics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color w:val="2E5FA3"/>
        <w:sz w:val="18"/>
        <w:szCs w:val="18"/>
      </w:rPr>
      <w:t xml:space="preserve">Solution Design Document — Option 1: Hybrid dbt + Prefect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2026-05-16T04:09:38.464Z</dcterms:created>
  <dcterms:modified xsi:type="dcterms:W3CDTF">2026-05-16T04:09:38.464Z</dcterms:modified>
</cp:coreProperties>
</file>

<file path=docProps/custom.xml><?xml version="1.0" encoding="utf-8"?>
<Properties xmlns="http://schemas.openxmlformats.org/officeDocument/2006/custom-properties" xmlns:vt="http://schemas.openxmlformats.org/officeDocument/2006/docPropsVTypes"/>
</file>