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00"/>
        <w:jc w:val="center"/>
      </w:pPr>
      <w:r>
        <w:rPr>
          <w:rFonts w:ascii="Arial" w:cs="Arial" w:eastAsia="Arial" w:hAnsi="Arial"/>
          <w:b/>
          <w:bCs/>
          <w:color w:val="1F3864"/>
          <w:sz w:val="48"/>
          <w:szCs w:val="48"/>
        </w:rPr>
        <w:t xml:space="preserve">SOLUTION DESIGN DOCUMENT</w:t>
      </w:r>
    </w:p>
    <w:p>
      <w:pPr>
        <w:spacing w:after="160"/>
        <w:jc w:val="center"/>
      </w:pPr>
      <w:r>
        <w:rPr>
          <w:rFonts w:ascii="Arial" w:cs="Arial" w:eastAsia="Arial" w:hAnsi="Arial"/>
          <w:b/>
          <w:bCs/>
          <w:color w:val="2E5FA3"/>
          <w:sz w:val="36"/>
          <w:szCs w:val="36"/>
        </w:rPr>
        <w:t xml:space="preserve">Option 2: AWS-Native Pipeline</w:t>
      </w:r>
    </w:p>
    <w:p>
      <w:pPr>
        <w:spacing w:after="160"/>
        <w:jc w:val="center"/>
      </w:pPr>
      <w:r>
        <w:rPr>
          <w:rFonts w:ascii="Arial" w:cs="Arial" w:eastAsia="Arial" w:hAnsi="Arial"/>
          <w:color w:val="444444"/>
          <w:sz w:val="26"/>
          <w:szCs w:val="26"/>
        </w:rPr>
        <w:t xml:space="preserve">Glue Python Shell + Glue ETL PySpark + Delta/Iceberg + Glue Workflow + DuckDB</w:t>
      </w:r>
    </w:p>
    <w:p>
      <w:pPr>
        <w:spacing w:after="400"/>
        <w:jc w:val="center"/>
      </w:pPr>
      <w:r>
        <w:rPr>
          <w:rFonts w:ascii="Arial" w:cs="Arial" w:eastAsia="Arial" w:hAnsi="Arial"/>
          <w:color w:val="666666"/>
          <w:sz w:val="22"/>
          <w:szCs w:val="22"/>
        </w:rPr>
        <w:t xml:space="preserve">Clipboard Health — Healthcare Metrics Project</w:t>
      </w:r>
    </w:p>
    <w:p>
      <w:pPr>
        <w:spacing w:after="160"/>
        <w:jc w:val="center"/>
      </w:pPr>
      <w:r>
        <w:rPr>
          <w:rFonts w:ascii="Arial" w:cs="Arial" w:eastAsia="Arial" w:hAnsi="Arial"/>
          <w:color w:val="888888"/>
          <w:sz w:val="20"/>
          <w:szCs w:val="20"/>
        </w:rPr>
        <w:t xml:space="preserve">Version 1.0  |  May 2025</w:t>
      </w:r>
    </w:p>
    <w:p>
      <w:pPr>
        <w:spacing w:after="0"/>
      </w:pPr>
      <w:r>
        <w:br w:type="pag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document describes the solution design for Option 2 of the Clipboard Health Healthcare Metrics Data Pipeline — a predominantly AWS-native architecture using Glue ETL PySpark for transformation and Glue Workflow for orchestration.</w:t>
      </w:r>
    </w:p>
    <w:p>
      <w:pPr>
        <w:spacing w:after="160"/>
      </w:pPr>
      <w:r>
        <w:rPr>
          <w:rFonts w:ascii="Arial" w:cs="Arial" w:eastAsia="Arial" w:hAnsi="Arial"/>
          <w:sz w:val="22"/>
          <w:szCs w:val="22"/>
        </w:rPr>
        <w:t xml:space="preserve">The pipeline ingests CMS nursing home staffing and quality data from Google Drive, transforms it through a three-zone S3 data lake using PySpark with Delta Lake or Apache Iceberg table format, computes five core metrics (M1–M5), and serves them via Streamlit with DuckDB for dashboard queries and Athena for analyst SQL access.</w:t>
      </w:r>
    </w:p>
    <w:p>
      <w:pPr>
        <w:spacing w:after="160"/>
      </w:pPr>
      <w:r>
        <w:rPr>
          <w:rFonts w:ascii="Arial" w:cs="Arial" w:eastAsia="Arial" w:hAnsi="Arial"/>
          <w:sz w:val="22"/>
          <w:szCs w:val="22"/>
        </w:rPr>
        <w:t xml:space="preserve">This option is recommended for teams with existing PySpark expertise, AWS-centric infrastructure standards, or anticipated data scale growth beyond 100M rows where distributed compute becomes necessary.</w:t>
      </w:r>
    </w:p>
    <w:p>
      <w:pPr>
        <w:spacing w:after="120"/>
      </w:pPr>
      <w:r>
        <w:t xml:space="preserve"/>
      </w:r>
    </w:p>
    <w:p>
      <w:pPr>
        <w:pStyle w:val="Heading1"/>
      </w:pPr>
      <w:r>
        <w:rPr>
          <w:rFonts w:ascii="Arial" w:cs="Arial" w:eastAsia="Arial" w:hAnsi="Arial"/>
          <w:b/>
          <w:bCs/>
          <w:sz w:val="32"/>
          <w:szCs w:val="32"/>
        </w:rPr>
        <w:t xml:space="preserve">2. Architecture Overview</w:t>
      </w:r>
    </w:p>
    <w:p>
      <w:pPr>
        <w:spacing w:after="160"/>
      </w:pPr>
      <w:r>
        <w:rPr>
          <w:rFonts w:ascii="Arial" w:cs="Arial" w:eastAsia="Arial" w:hAnsi="Arial"/>
          <w:sz w:val="22"/>
          <w:szCs w:val="22"/>
        </w:rPr>
        <w:t xml:space="preserve">The pipeline is structured in seven layers: Source → Ingestion → Storage → Transformation → Orchestration → Serving → Consumption. See the accompanying draw.io diagram (architecture_option2_glue.drawio) for the visual representation.</w:t>
      </w:r>
    </w:p>
    <w:p>
      <w:pPr>
        <w:spacing w:after="120"/>
      </w:pPr>
      <w:r>
        <w:t xml:space="preserve"/>
      </w:r>
    </w:p>
    <w:p>
      <w:pPr>
        <w:pStyle w:val="Heading2"/>
      </w:pPr>
      <w:r>
        <w:rPr>
          <w:rFonts w:ascii="Arial" w:cs="Arial" w:eastAsia="Arial" w:hAnsi="Arial"/>
          <w:b/>
          <w:bCs/>
          <w:sz w:val="28"/>
          <w:szCs w:val="28"/>
        </w:rPr>
        <w:t xml:space="preserve">2.1 Layer-by-Layer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60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files (PBJ quarterly, ProviderInfo monthly, VBP annually) stored in Google Drive. Native file metadata API enables incremental detection.</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Ingestion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Python Shell Job</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Handles large file downloads (60 min timeout). Full pip support for Drive SDK. Single AWS component — no Lambda + SQS overhead.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Watermarking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last_modified_drive timestamp per file. Checked before every download. Fault-tolerant retry via un-updated watermark on failure.</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Storage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S3 (Bronze / Silver / Gold)</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Three-zone data lake. Bronze = raw CSVs. Silver = cleaned Parquet/Delta/Iceberg. Gold = M1–M5 aggregates. Cheapest reliable object storage.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Lake or Apache Iceberg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to Silver and Gold. ACID transactions, schema evolution, time travel. Delta if Databricks-aligned future; Iceberg if staying AWS-native. Decision deferred to implementation.</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Glue ETL (PySpark)</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Distributed PySpark jobs handle Bronze → Silver cleaning and Silver → Gold metric aggregations. Native AWS integration. Best choice if data scales to 100M+ rows or complex Python UDFs are needed.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 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Athena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alongside Glue ETL for ad-hoc validation queries during development and analyst access post-transform. Glue Catalog makes all tables discoverable.</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Glue Data Catalog</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Central schema store for all layers. Glue ETL writes table definitions automatically. Athena reads them without configuration.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Workflow</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AWS service chains Glue Shell (ingest) → Glue ETL Bronze→Silver → Glue ETL Silver→Gold. Integrated with CloudWatch for monitoring and SNS for alerts. No external dependencies.</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Analyst Serving</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Multi-user ad-hoc SQL on Silver + Gold. Connects to DBeaver, Tableau, QuickSight. Pay-per-query.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Serving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DuckDB</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 engine in Streamlit. Reads Gold Parquet from S3. Millisecond latency. Eliminates Athena round-trip cost for dashboard interactions.</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CloudWatch + SNS</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Workflow run status, job metrics, and failure alerts. Native integration — no additional tooling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dashboard framework. DuckDB provides sub-second metric queries for all dashboard interactions.</w:t>
            </w:r>
          </w:p>
        </w:tc>
      </w:tr>
    </w:tbl>
    <w:p>
      <w:pPr>
        <w:spacing w:after="120"/>
      </w:pPr>
      <w:r>
        <w:t xml:space="preserve"/>
      </w:r>
    </w:p>
    <w:p>
      <w:pPr>
        <w:pStyle w:val="Heading1"/>
      </w:pPr>
      <w:r>
        <w:rPr>
          <w:rFonts w:ascii="Arial" w:cs="Arial" w:eastAsia="Arial" w:hAnsi="Arial"/>
          <w:b/>
          <w:bCs/>
          <w:sz w:val="32"/>
          <w:szCs w:val="32"/>
        </w:rPr>
        <w:t xml:space="preserve">3.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EventBridge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schedule fires (monthly / quarterly / annually per file type)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Workflow</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Starts workflow execution — Step 1: Glue Python Shell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Python Shell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Drive API, checks DynamoDB watermark, downloads new files to S3 Bronze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DynamoDB</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Watermark updated with new last_modified_drive timestamp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Shell success — Step 2: Glue ETL PySpark (Bronze → Silver)</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ETL Job 1</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PySpark reads Bronze CSVs, applies all data quality fixes, writes Silver Parquet + Iceberg/Delta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ETL Job 1 success — Step 3: Glue ETL PySpark (Silver → Gold)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ETL Job 2</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PySpark reads Silver, computes M1–M5 aggregations, writes Gold Parquet + Iceberg/Delta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Gold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 tables available for serving</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DuckDB</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Streamlit loads Gold layer at startup via S3 httpfs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Athena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Analysts query Silver/Gold on-demand via SQL clients</w:t>
            </w:r>
          </w:p>
        </w:tc>
      </w:tr>
    </w:tbl>
    <w:p>
      <w:pPr>
        <w:spacing w:after="120"/>
      </w:pPr>
      <w:r>
        <w:t xml:space="preserve"/>
      </w:r>
    </w:p>
    <w:p>
      <w:pPr>
        <w:pStyle w:val="Heading1"/>
      </w:pPr>
      <w:r>
        <w:rPr>
          <w:rFonts w:ascii="Arial" w:cs="Arial" w:eastAsia="Arial" w:hAnsi="Arial"/>
          <w:b/>
          <w:bCs/>
          <w:sz w:val="32"/>
          <w:szCs w:val="32"/>
        </w:rPr>
        <w:t xml:space="preserve">4. Storage Design — S3 Data Lake</w:t>
      </w:r>
    </w:p>
    <w:p>
      <w:pPr>
        <w:pStyle w:val="Heading2"/>
      </w:pPr>
      <w:r>
        <w:rPr>
          <w:rFonts w:ascii="Arial" w:cs="Arial" w:eastAsia="Arial" w:hAnsi="Arial"/>
          <w:b/>
          <w:bCs/>
          <w:sz w:val="28"/>
          <w:szCs w:val="28"/>
        </w:rPr>
        <w:t xml:space="preserve">4.1 Zone Definitions</w:t>
      </w:r>
    </w:p>
    <w:p>
      <w:pPr>
        <w:pStyle w:val="ListParagraph"/>
        <w:numPr>
          <w:ilvl w:val="0"/>
          <w:numId w:val="2"/>
        </w:numPr>
        <w:spacing w:after="100"/>
      </w:pPr>
      <w:r>
        <w:rPr>
          <w:rFonts w:ascii="Arial" w:cs="Arial" w:eastAsia="Arial" w:hAnsi="Arial"/>
          <w:sz w:val="22"/>
          <w:szCs w:val="22"/>
        </w:rPr>
        <w:t xml:space="preserve">Bronze: Raw CSVs exactly as received from Google Drive. Immutable. Partitioned by source_file and ingestion_date. Glue Python Shell writes here directly.</w:t>
      </w:r>
    </w:p>
    <w:p>
      <w:pPr>
        <w:pStyle w:val="ListParagraph"/>
        <w:numPr>
          <w:ilvl w:val="0"/>
          <w:numId w:val="2"/>
        </w:numPr>
        <w:spacing w:after="100"/>
      </w:pPr>
      <w:r>
        <w:rPr>
          <w:rFonts w:ascii="Arial" w:cs="Arial" w:eastAsia="Arial" w:hAnsi="Arial"/>
          <w:sz w:val="22"/>
          <w:szCs w:val="22"/>
        </w:rPr>
        <w:t xml:space="preserve">Silver: Cleaned and joined data in Parquet format with Delta Lake or Iceberg table format. Glue ETL Job 1 produces this layer. All 10 data quality fixes identified in the analysis are applied here.</w:t>
      </w:r>
    </w:p>
    <w:p>
      <w:pPr>
        <w:pStyle w:val="ListParagraph"/>
        <w:numPr>
          <w:ilvl w:val="0"/>
          <w:numId w:val="2"/>
        </w:numPr>
        <w:spacing w:after="100"/>
      </w:pPr>
      <w:r>
        <w:rPr>
          <w:rFonts w:ascii="Arial" w:cs="Arial" w:eastAsia="Arial" w:hAnsi="Arial"/>
          <w:sz w:val="22"/>
          <w:szCs w:val="22"/>
        </w:rPr>
        <w:t xml:space="preserve">Gold: Pre-aggregated M1–M5 metric tables in Parquet format with Delta/Iceberg. Glue ETL Job 2 produces this layer. Streamlit reads Gold via DuckDB.</w:t>
      </w:r>
    </w:p>
    <w:p>
      <w:pPr>
        <w:spacing w:after="120"/>
      </w:pPr>
      <w:r>
        <w:t xml:space="preserve"/>
      </w:r>
    </w:p>
    <w:p>
      <w:pPr>
        <w:pStyle w:val="Heading2"/>
      </w:pPr>
      <w:r>
        <w:rPr>
          <w:rFonts w:ascii="Arial" w:cs="Arial" w:eastAsia="Arial" w:hAnsi="Arial"/>
          <w:b/>
          <w:bCs/>
          <w:sz w:val="28"/>
          <w:szCs w:val="28"/>
        </w:rPr>
        <w:t xml:space="preserve">4.2 Delta Lake vs Apache Iceberg Decision</w:t>
      </w:r>
    </w:p>
    <w:p>
      <w:pPr>
        <w:spacing w:after="160"/>
      </w:pPr>
      <w:r>
        <w:rPr>
          <w:rFonts w:ascii="Arial" w:cs="Arial" w:eastAsia="Arial" w:hAnsi="Arial"/>
          <w:sz w:val="22"/>
          <w:szCs w:val="22"/>
        </w:rPr>
        <w:t xml:space="preserve">Both Delta Lake and Apache Iceberg provide the same core capabilities needed for this project: ACID transactions, schema evolution, and time travel. The choice depends on the broader organizational context:</w:t>
      </w:r>
    </w:p>
    <w:p>
      <w:pPr>
        <w:pStyle w:val="ListParagraph"/>
        <w:numPr>
          <w:ilvl w:val="0"/>
          <w:numId w:val="2"/>
        </w:numPr>
        <w:spacing w:after="100"/>
      </w:pPr>
      <w:r>
        <w:rPr>
          <w:rFonts w:ascii="Arial" w:cs="Arial" w:eastAsia="Arial" w:hAnsi="Arial"/>
          <w:sz w:val="22"/>
          <w:szCs w:val="22"/>
        </w:rPr>
        <w:t xml:space="preserve">Choose Apache Iceberg if the team plans to stay AWS-native. Athena, Glue, and S3 Tables have first-class Iceberg support. No Databricks dependency.</w:t>
      </w:r>
    </w:p>
    <w:p>
      <w:pPr>
        <w:pStyle w:val="ListParagraph"/>
        <w:numPr>
          <w:ilvl w:val="0"/>
          <w:numId w:val="2"/>
        </w:numPr>
        <w:spacing w:after="100"/>
      </w:pPr>
      <w:r>
        <w:rPr>
          <w:rFonts w:ascii="Arial" w:cs="Arial" w:eastAsia="Arial" w:hAnsi="Arial"/>
          <w:sz w:val="22"/>
          <w:szCs w:val="22"/>
        </w:rPr>
        <w:t xml:space="preserve">Choose Delta Lake if the organization has or plans to adopt Databricks, or if the team is already familiar with Delta from Azure Data Lake or Databricks workflows.</w:t>
      </w:r>
    </w:p>
    <w:p>
      <w:pPr>
        <w:pStyle w:val="ListParagraph"/>
        <w:numPr>
          <w:ilvl w:val="0"/>
          <w:numId w:val="2"/>
        </w:numPr>
        <w:spacing w:after="100"/>
      </w:pPr>
      <w:r>
        <w:rPr>
          <w:rFonts w:ascii="Arial" w:cs="Arial" w:eastAsia="Arial" w:hAnsi="Arial"/>
          <w:sz w:val="22"/>
          <w:szCs w:val="22"/>
        </w:rPr>
        <w:t xml:space="preserve">For this project, Apache Iceberg is the default recommendation given the AWS-native stack. The decision can be deferred to implementation without architectural impact — both formats are supported by Glue ETL PySpark.</w:t>
      </w:r>
    </w:p>
    <w:p>
      <w:pPr>
        <w:spacing w:after="120"/>
      </w:pPr>
      <w:r>
        <w:t xml:space="preserve"/>
      </w:r>
    </w:p>
    <w:p>
      <w:pPr>
        <w:pStyle w:val="Heading1"/>
      </w:pPr>
      <w:r>
        <w:rPr>
          <w:rFonts w:ascii="Arial" w:cs="Arial" w:eastAsia="Arial" w:hAnsi="Arial"/>
          <w:b/>
          <w:bCs/>
          <w:sz w:val="32"/>
          <w:szCs w:val="32"/>
        </w:rPr>
        <w:t xml:space="preserve">5. Transformation Design — Glue ETL PySpark</w:t>
      </w:r>
    </w:p>
    <w:p>
      <w:pPr>
        <w:pStyle w:val="Heading2"/>
      </w:pPr>
      <w:r>
        <w:rPr>
          <w:rFonts w:ascii="Arial" w:cs="Arial" w:eastAsia="Arial" w:hAnsi="Arial"/>
          <w:b/>
          <w:bCs/>
          <w:sz w:val="28"/>
          <w:szCs w:val="28"/>
        </w:rPr>
        <w:t xml:space="preserve">5.1 Why Glue ETL over dbt for this option</w:t>
      </w:r>
    </w:p>
    <w:p>
      <w:pPr>
        <w:pStyle w:val="ListParagraph"/>
        <w:numPr>
          <w:ilvl w:val="0"/>
          <w:numId w:val="2"/>
        </w:numPr>
        <w:spacing w:after="100"/>
      </w:pPr>
      <w:r>
        <w:rPr>
          <w:rFonts w:ascii="Arial" w:cs="Arial" w:eastAsia="Arial" w:hAnsi="Arial"/>
          <w:sz w:val="22"/>
          <w:szCs w:val="22"/>
        </w:rPr>
        <w:t xml:space="preserve">Full Python/PySpark available — custom UDFs, MLlib for M5 Pearson correlation, complex multi-step transformations all in one environment.</w:t>
      </w:r>
    </w:p>
    <w:p>
      <w:pPr>
        <w:pStyle w:val="ListParagraph"/>
        <w:numPr>
          <w:ilvl w:val="0"/>
          <w:numId w:val="2"/>
        </w:numPr>
        <w:spacing w:after="100"/>
      </w:pPr>
      <w:r>
        <w:rPr>
          <w:rFonts w:ascii="Arial" w:cs="Arial" w:eastAsia="Arial" w:hAnsi="Arial"/>
          <w:sz w:val="22"/>
          <w:szCs w:val="22"/>
        </w:rPr>
        <w:t xml:space="preserve">AWS-native — integrated with Glue Catalog, S3, CloudWatch, and Glue Workflow without any adapter configuration.</w:t>
      </w:r>
    </w:p>
    <w:p>
      <w:pPr>
        <w:pStyle w:val="ListParagraph"/>
        <w:numPr>
          <w:ilvl w:val="0"/>
          <w:numId w:val="2"/>
        </w:numPr>
        <w:spacing w:after="100"/>
      </w:pPr>
      <w:r>
        <w:rPr>
          <w:rFonts w:ascii="Arial" w:cs="Arial" w:eastAsia="Arial" w:hAnsi="Arial"/>
          <w:sz w:val="22"/>
          <w:szCs w:val="22"/>
        </w:rPr>
        <w:t xml:space="preserve">Scales to any data volume — if CMS ever increases reporting frequency or adds new states, PySpark handles the scale without architectural changes.</w:t>
      </w:r>
    </w:p>
    <w:p>
      <w:pPr>
        <w:pStyle w:val="ListParagraph"/>
        <w:numPr>
          <w:ilvl w:val="0"/>
          <w:numId w:val="2"/>
        </w:numPr>
        <w:spacing w:after="100"/>
      </w:pPr>
      <w:r>
        <w:rPr>
          <w:rFonts w:ascii="Arial" w:cs="Arial" w:eastAsia="Arial" w:hAnsi="Arial"/>
          <w:sz w:val="22"/>
          <w:szCs w:val="22"/>
        </w:rPr>
        <w:t xml:space="preserve">Single vendor — no external SaaS dependency for orchestration or transformation.</w:t>
      </w:r>
    </w:p>
    <w:p>
      <w:pPr>
        <w:spacing w:after="120"/>
      </w:pPr>
      <w:r>
        <w:t xml:space="preserve"/>
      </w:r>
    </w:p>
    <w:p>
      <w:pPr>
        <w:pStyle w:val="Heading2"/>
      </w:pPr>
      <w:r>
        <w:rPr>
          <w:rFonts w:ascii="Arial" w:cs="Arial" w:eastAsia="Arial" w:hAnsi="Arial"/>
          <w:b/>
          <w:bCs/>
          <w:sz w:val="28"/>
          <w:szCs w:val="28"/>
        </w:rPr>
        <w:t xml:space="preserve">5.2 Glue ETL Job Structure</w:t>
      </w:r>
    </w:p>
    <w:p>
      <w:pPr>
        <w:pStyle w:val="ListParagraph"/>
        <w:numPr>
          <w:ilvl w:val="0"/>
          <w:numId w:val="2"/>
        </w:numPr>
        <w:spacing w:after="100"/>
      </w:pPr>
      <w:r>
        <w:rPr>
          <w:rFonts w:ascii="Arial" w:cs="Arial" w:eastAsia="Arial" w:hAnsi="Arial"/>
          <w:sz w:val="22"/>
          <w:szCs w:val="22"/>
        </w:rPr>
        <w:t xml:space="preserve">Job 1 — Bronze to Silver: Reads raw CSVs from S3 Bronze. Applies data quality fixes (WorkDate parsing, MDScensus zero exclusion, Marigold outlier removal, PROVNUM zero-padding, Baseline RSRR dtype coercion). Joins PBJ + ProviderInfo + VBP + Penalties on PROVNUM/CCN. Writes Silver in Parquet + Iceberg/Delta format.</w:t>
      </w:r>
    </w:p>
    <w:p>
      <w:pPr>
        <w:pStyle w:val="ListParagraph"/>
        <w:numPr>
          <w:ilvl w:val="0"/>
          <w:numId w:val="2"/>
        </w:numPr>
        <w:spacing w:after="100"/>
      </w:pPr>
      <w:r>
        <w:rPr>
          <w:rFonts w:ascii="Arial" w:cs="Arial" w:eastAsia="Arial" w:hAnsi="Arial"/>
          <w:sz w:val="22"/>
          <w:szCs w:val="22"/>
        </w:rPr>
        <w:t xml:space="preserve">Job 2 — Silver to Gold: Reads Silver joined table. Computes M1–M5 metric aggregations. Uses PySpark MLlib for M5 Pearson correlation. Writes Gold metric tables in Parquet + Iceberg/Delta format. Updates Glue Catalog with latest table metadata.</w:t>
      </w:r>
    </w:p>
    <w:p>
      <w:pPr>
        <w:spacing w:after="120"/>
      </w:pPr>
      <w:r>
        <w:t xml:space="preserve"/>
      </w:r>
    </w:p>
    <w:p>
      <w:pPr>
        <w:pStyle w:val="Heading1"/>
      </w:pPr>
      <w:r>
        <w:rPr>
          <w:rFonts w:ascii="Arial" w:cs="Arial" w:eastAsia="Arial" w:hAnsi="Arial"/>
          <w:b/>
          <w:bCs/>
          <w:sz w:val="32"/>
          <w:szCs w:val="32"/>
        </w:rPr>
        <w:t xml:space="preserve">6. Metrics Design — M1 to M5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800"/>
        <w:gridCol w:w="3560"/>
      </w:tblGrid>
      <w:tr>
        <w:trPr>
          <w:tblHeader/>
        </w:trPr>
        <w:tc>
          <w:tcPr>
            <w:tcW w:type="dxa" w:w="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 Name</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Source Files</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Computed In</w:t>
            </w:r>
          </w:p>
        </w:tc>
        <w:tc>
          <w:tcPr>
            <w:tcW w:type="dxa" w:w="35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Nurse-to-patient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PBJ daily + ProviderInfo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ETL Job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(Hrs_RN + Hrs_LPN + Hrs_CNA) / MDScensus per day, avg by facility/state/month</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Total nursing hours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PBJ daily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ETL Job 2</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Sum all Hrs_* by facility, state, month. Role breakdown (RN/LPN/CNA)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vs employed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PBJ (_emp/_ctr cols)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ETL Job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sum(_ctr) / sum(total_hrs) per facility. Flag &gt;30% contract dependency</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Occupancy + throughput</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PBJ + ProviderInfo</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ETL Job 2</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Avg census / certified beds = occupancy %. Top 10 by avg census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Staffing vs readmission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PBJ + SNF_VBP + Penalties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ETL Job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NTILE(4) staffing quartiles joined to RSRR. Pearson correlation via PySpark MLlib</w:t>
            </w:r>
          </w:p>
        </w:tc>
      </w:tr>
    </w:tbl>
    <w:p>
      <w:pPr>
        <w:spacing w:after="120"/>
      </w:pPr>
      <w:r>
        <w:t xml:space="preserve"/>
      </w:r>
    </w:p>
    <w:p>
      <w:pPr>
        <w:pStyle w:val="Heading1"/>
      </w:pPr>
      <w:r>
        <w:rPr>
          <w:rFonts w:ascii="Arial" w:cs="Arial" w:eastAsia="Arial" w:hAnsi="Arial"/>
          <w:b/>
          <w:bCs/>
          <w:sz w:val="32"/>
          <w:szCs w:val="32"/>
        </w:rPr>
        <w:t xml:space="preserve">7. Orchestration Design — Glue Workflow</w:t>
      </w:r>
    </w:p>
    <w:p>
      <w:pPr>
        <w:spacing w:after="160"/>
      </w:pPr>
      <w:r>
        <w:rPr>
          <w:rFonts w:ascii="Arial" w:cs="Arial" w:eastAsia="Arial" w:hAnsi="Arial"/>
          <w:sz w:val="22"/>
          <w:szCs w:val="22"/>
        </w:rPr>
        <w:t xml:space="preserve">Glue Workflow is the native AWS orchestration layer that chains multiple Glue jobs into a sequential pipeline with dependency management and failure handling.</w:t>
      </w:r>
    </w:p>
    <w:p>
      <w:pPr>
        <w:spacing w:after="120"/>
      </w:pPr>
      <w:r>
        <w:t xml:space="preserve"/>
      </w:r>
    </w:p>
    <w:p>
      <w:pPr>
        <w:pStyle w:val="Heading2"/>
      </w:pPr>
      <w:r>
        <w:rPr>
          <w:rFonts w:ascii="Arial" w:cs="Arial" w:eastAsia="Arial" w:hAnsi="Arial"/>
          <w:b/>
          <w:bCs/>
          <w:sz w:val="28"/>
          <w:szCs w:val="28"/>
        </w:rPr>
        <w:t xml:space="preserve">7.1 Workflow Structure</w:t>
      </w:r>
    </w:p>
    <w:p>
      <w:pPr>
        <w:pStyle w:val="ListParagraph"/>
        <w:numPr>
          <w:ilvl w:val="0"/>
          <w:numId w:val="2"/>
        </w:numPr>
        <w:spacing w:after="100"/>
      </w:pPr>
      <w:r>
        <w:rPr>
          <w:rFonts w:ascii="Arial" w:cs="Arial" w:eastAsia="Arial" w:hAnsi="Arial"/>
          <w:sz w:val="22"/>
          <w:szCs w:val="22"/>
        </w:rPr>
        <w:t xml:space="preserve">Trigger: EventBridge cron schedule (configured per file type frequency).</w:t>
      </w:r>
    </w:p>
    <w:p>
      <w:pPr>
        <w:pStyle w:val="ListParagraph"/>
        <w:numPr>
          <w:ilvl w:val="0"/>
          <w:numId w:val="2"/>
        </w:numPr>
        <w:spacing w:after="100"/>
      </w:pPr>
      <w:r>
        <w:rPr>
          <w:rFonts w:ascii="Arial" w:cs="Arial" w:eastAsia="Arial" w:hAnsi="Arial"/>
          <w:sz w:val="22"/>
          <w:szCs w:val="22"/>
        </w:rPr>
        <w:t xml:space="preserve">Step 1: Glue Python Shell job (ingestion). On SUCCESS proceed to Step 2. On FAILURE send SNS alert, halt workflow.</w:t>
      </w:r>
    </w:p>
    <w:p>
      <w:pPr>
        <w:pStyle w:val="ListParagraph"/>
        <w:numPr>
          <w:ilvl w:val="0"/>
          <w:numId w:val="2"/>
        </w:numPr>
        <w:spacing w:after="100"/>
      </w:pPr>
      <w:r>
        <w:rPr>
          <w:rFonts w:ascii="Arial" w:cs="Arial" w:eastAsia="Arial" w:hAnsi="Arial"/>
          <w:sz w:val="22"/>
          <w:szCs w:val="22"/>
        </w:rPr>
        <w:t xml:space="preserve">Step 2: Glue ETL PySpark Job 1 (Bronze → Silver). On SUCCESS proceed to Step 3. On FAILURE send SNS alert, halt workflow.</w:t>
      </w:r>
    </w:p>
    <w:p>
      <w:pPr>
        <w:pStyle w:val="ListParagraph"/>
        <w:numPr>
          <w:ilvl w:val="0"/>
          <w:numId w:val="2"/>
        </w:numPr>
        <w:spacing w:after="100"/>
      </w:pPr>
      <w:r>
        <w:rPr>
          <w:rFonts w:ascii="Arial" w:cs="Arial" w:eastAsia="Arial" w:hAnsi="Arial"/>
          <w:sz w:val="22"/>
          <w:szCs w:val="22"/>
        </w:rPr>
        <w:t xml:space="preserve">Step 3: Glue ETL PySpark Job 2 (Silver → Gold). On SUCCESS mark workflow complete. On FAILURE send SNS alert.</w:t>
      </w:r>
    </w:p>
    <w:p>
      <w:pPr>
        <w:spacing w:after="120"/>
      </w:pPr>
      <w:r>
        <w:t xml:space="preserve"/>
      </w:r>
    </w:p>
    <w:p>
      <w:pPr>
        <w:pStyle w:val="Heading2"/>
      </w:pPr>
      <w:r>
        <w:rPr>
          <w:rFonts w:ascii="Arial" w:cs="Arial" w:eastAsia="Arial" w:hAnsi="Arial"/>
          <w:b/>
          <w:bCs/>
          <w:sz w:val="28"/>
          <w:szCs w:val="28"/>
        </w:rPr>
        <w:t xml:space="preserve">7.2 Why Glue Workflow over Prefect for this option</w:t>
      </w:r>
    </w:p>
    <w:p>
      <w:pPr>
        <w:pStyle w:val="ListParagraph"/>
        <w:numPr>
          <w:ilvl w:val="0"/>
          <w:numId w:val="2"/>
        </w:numPr>
        <w:spacing w:after="100"/>
      </w:pPr>
      <w:r>
        <w:rPr>
          <w:rFonts w:ascii="Arial" w:cs="Arial" w:eastAsia="Arial" w:hAnsi="Arial"/>
          <w:sz w:val="22"/>
          <w:szCs w:val="22"/>
        </w:rPr>
        <w:t xml:space="preserve">No external dependency — fully managed by AWS, no SaaS account needed.</w:t>
      </w:r>
    </w:p>
    <w:p>
      <w:pPr>
        <w:pStyle w:val="ListParagraph"/>
        <w:numPr>
          <w:ilvl w:val="0"/>
          <w:numId w:val="2"/>
        </w:numPr>
        <w:spacing w:after="100"/>
      </w:pPr>
      <w:r>
        <w:rPr>
          <w:rFonts w:ascii="Arial" w:cs="Arial" w:eastAsia="Arial" w:hAnsi="Arial"/>
          <w:sz w:val="22"/>
          <w:szCs w:val="22"/>
        </w:rPr>
        <w:t xml:space="preserve">Native Glue job integration — no adapter or trigger code required.</w:t>
      </w:r>
    </w:p>
    <w:p>
      <w:pPr>
        <w:pStyle w:val="ListParagraph"/>
        <w:numPr>
          <w:ilvl w:val="0"/>
          <w:numId w:val="2"/>
        </w:numPr>
        <w:spacing w:after="100"/>
      </w:pPr>
      <w:r>
        <w:rPr>
          <w:rFonts w:ascii="Arial" w:cs="Arial" w:eastAsia="Arial" w:hAnsi="Arial"/>
          <w:sz w:val="22"/>
          <w:szCs w:val="22"/>
        </w:rPr>
        <w:t xml:space="preserve">CloudWatch integration — all job metrics, run times, and failure states flow to CloudWatch automatically.</w:t>
      </w:r>
    </w:p>
    <w:p>
      <w:pPr>
        <w:pStyle w:val="ListParagraph"/>
        <w:numPr>
          <w:ilvl w:val="0"/>
          <w:numId w:val="2"/>
        </w:numPr>
        <w:spacing w:after="100"/>
      </w:pPr>
      <w:r>
        <w:rPr>
          <w:rFonts w:ascii="Arial" w:cs="Arial" w:eastAsia="Arial" w:hAnsi="Arial"/>
          <w:sz w:val="22"/>
          <w:szCs w:val="22"/>
        </w:rPr>
        <w:t xml:space="preserve">Tradeoff: Less flexible than Prefect for complex conditional logic, and no Python-native flow definitions. Acceptable for this linear three-step pipeline.</w:t>
      </w:r>
    </w:p>
    <w:p>
      <w:pPr>
        <w:spacing w:after="120"/>
      </w:pPr>
      <w:r>
        <w:t xml:space="preserve"/>
      </w:r>
    </w:p>
    <w:p>
      <w:pPr>
        <w:pStyle w:val="Heading1"/>
      </w:pPr>
      <w:r>
        <w:rPr>
          <w:rFonts w:ascii="Arial" w:cs="Arial" w:eastAsia="Arial" w:hAnsi="Arial"/>
          <w:b/>
          <w:bCs/>
          <w:sz w:val="32"/>
          <w:szCs w:val="32"/>
        </w:rPr>
        <w:t xml:space="preserve">8. Serving Design — Athena + DuckDB</w:t>
      </w:r>
    </w:p>
    <w:p>
      <w:pPr>
        <w:pStyle w:val="Heading2"/>
      </w:pPr>
      <w:r>
        <w:rPr>
          <w:rFonts w:ascii="Arial" w:cs="Arial" w:eastAsia="Arial" w:hAnsi="Arial"/>
          <w:b/>
          <w:bCs/>
          <w:sz w:val="28"/>
          <w:szCs w:val="28"/>
        </w:rPr>
        <w:t xml:space="preserve">8.1 DuckDB for Dashboard</w:t>
      </w:r>
    </w:p>
    <w:p>
      <w:pPr>
        <w:spacing w:after="160"/>
      </w:pPr>
      <w:r>
        <w:rPr>
          <w:rFonts w:ascii="Arial" w:cs="Arial" w:eastAsia="Arial" w:hAnsi="Arial"/>
          <w:sz w:val="22"/>
          <w:szCs w:val="22"/>
        </w:rPr>
        <w:t xml:space="preserve">DuckDB runs inside the Streamlit application process. It reads Gold layer Parquet files from S3 at startup via the httpfs extension. All filter interactions and metric queries run against in-memory DuckDB with millisecond latency — no Athena calls during dashboard use.</w:t>
      </w:r>
    </w:p>
    <w:p>
      <w:pPr>
        <w:spacing w:after="120"/>
      </w:pPr>
      <w:r>
        <w:t xml:space="preserve"/>
      </w:r>
    </w:p>
    <w:p>
      <w:pPr>
        <w:pStyle w:val="Heading2"/>
      </w:pPr>
      <w:r>
        <w:rPr>
          <w:rFonts w:ascii="Arial" w:cs="Arial" w:eastAsia="Arial" w:hAnsi="Arial"/>
          <w:b/>
          <w:bCs/>
          <w:sz w:val="28"/>
          <w:szCs w:val="28"/>
        </w:rPr>
        <w:t xml:space="preserve">8.2 Athena for Analyst Access</w:t>
      </w:r>
    </w:p>
    <w:p>
      <w:pPr>
        <w:spacing w:after="160"/>
      </w:pPr>
      <w:r>
        <w:rPr>
          <w:rFonts w:ascii="Arial" w:cs="Arial" w:eastAsia="Arial" w:hAnsi="Arial"/>
          <w:sz w:val="22"/>
          <w:szCs w:val="22"/>
        </w:rPr>
        <w:t xml:space="preserve">Analysts connect to Athena via standard SQL clients. The Glue Data Catalog registers all Silver and Gold Iceberg/Delta tables making them immediately queryable. Athena Engine v3 has native support for both table formats.</w:t>
      </w:r>
    </w:p>
    <w:p>
      <w:pPr>
        <w:spacing w:after="120"/>
      </w:pPr>
      <w:r>
        <w:t xml:space="preserve"/>
      </w:r>
    </w:p>
    <w:p>
      <w:pPr>
        <w:pStyle w:val="Heading1"/>
      </w:pPr>
      <w:r>
        <w:rPr>
          <w:rFonts w:ascii="Arial" w:cs="Arial" w:eastAsia="Arial" w:hAnsi="Arial"/>
          <w:b/>
          <w:bCs/>
          <w:sz w:val="32"/>
          <w:szCs w:val="32"/>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960"/>
      </w:tblGrid>
      <w:tr>
        <w:trPr>
          <w:tblHeader/>
        </w:trPr>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Spark startup 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min cluster spin-up on every run adds pipeline latency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Glue job bookmarks and reuse warm pools where possible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PySpark complexity</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PySpark has steeper learning curve than SQL for analysts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Separate ETL code from analyst-facing Athena views; document all transforms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ETL cost at low frequency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2 DPU × $0.44/hr even for 2-min jobs = ~$0.03 minimum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jobs to minimize cold starts; use Glue Flex execution tier for non-urgent runs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Cross-period correlation (M5)</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PBJ Q2 2024 vs VBP FY2022 — 18-month gap</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Label as structural association in dashboard, not causal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schema changes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adds columns quarterly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Delta/Iceberg schema evolution handles automatically. Update PySpark schema inference.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Single vendor dependency</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Full AWS stack — changes in AWS pricing affect all layers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Mitigated by open table formats (Iceberg/Delta) which are portable across clouds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Workflow failure visibility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failures require CloudWatch navigation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SNS email/Slack alerts on all job failure states</w:t>
            </w:r>
          </w:p>
        </w:tc>
      </w:tr>
    </w:tbl>
    <w:p>
      <w:pPr>
        <w:spacing w:after="120"/>
      </w:pPr>
      <w:r>
        <w:t xml:space="preserve"/>
      </w:r>
    </w:p>
    <w:p>
      <w:pPr>
        <w:pStyle w:val="Heading1"/>
      </w:pPr>
      <w:r>
        <w:rPr>
          <w:rFonts w:ascii="Arial" w:cs="Arial" w:eastAsia="Arial" w:hAnsi="Arial"/>
          <w:b/>
          <w:bCs/>
          <w:sz w:val="32"/>
          <w:szCs w:val="32"/>
        </w:rPr>
        <w:t xml:space="preserve">10. Cost Estimate</w:t>
      </w:r>
    </w:p>
    <w:p>
      <w:pPr>
        <w:pStyle w:val="Heading2"/>
      </w:pPr>
      <w:r>
        <w:rPr>
          <w:rFonts w:ascii="Arial" w:cs="Arial" w:eastAsia="Arial" w:hAnsi="Arial"/>
          <w:b/>
          <w:bCs/>
          <w:sz w:val="28"/>
          <w:szCs w:val="28"/>
        </w:rPr>
        <w:t xml:space="preserve">Per pipeline run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55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Python Shell (ingestion)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0.0625 DPU × ~$0.44/hr × ~9 min per run × 15 files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ETL Job 1 (Bronze→Silver)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~$0.30</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 DPU × $0.44/hr × ~20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ETL Job 2 (Silver→Gold)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DPU × $0.44/hr × ~15 min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 (analyst queries)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~$0.01</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$5/TB × ~2GB typical analyst scan per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~$0.10/month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~4GB total across all layers at $0.023/GB</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DynamoDB (watermark table)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&lt;$0.01</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 rows, minimal read/write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 Logs +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job logs and custom metrics</w:t>
            </w:r>
          </w:p>
        </w:tc>
      </w:tr>
    </w:tbl>
    <w:p>
      <w:pPr>
        <w:spacing w:after="120"/>
      </w:pPr>
      <w:r>
        <w:t xml:space="preserve"/>
      </w:r>
    </w:p>
    <w:p>
      <w:pPr>
        <w:pStyle w:val="Heading1"/>
      </w:pPr>
      <w:r>
        <w:rPr>
          <w:rFonts w:ascii="Arial" w:cs="Arial" w:eastAsia="Arial" w:hAnsi="Arial"/>
          <w:b/>
          <w:bCs/>
          <w:sz w:val="32"/>
          <w:szCs w:val="32"/>
        </w:rPr>
        <w:t xml:space="preserve">11.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rPr>
          <w:tblHeader/>
        </w:trPr>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Version /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EventBridge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Ingestion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Glue Python Shell</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Python 3.9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On-demand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Storage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S3</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Standard + Intelligent Tiering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Iceberg (or Delta Lake)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 / 2.x</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Glue Data Catalog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Included with Glue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ETL (PySpark)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4.0 / Spark 3.3</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Query layer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Engine v3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Workflow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with Glue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Dashboard engine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DuckDB</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Analyst SQL</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Engine v3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CloudWatch + SNS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bl>
    <w:p>
      <w:pPr>
        <w:spacing w:after="120"/>
      </w:pPr>
      <w:r>
        <w:t xml:space="preserve"/>
      </w:r>
    </w:p>
    <w:p>
      <w:pPr>
        <w:pStyle w:val="Heading1"/>
      </w:pPr>
      <w:r>
        <w:rPr>
          <w:rFonts w:ascii="Arial" w:cs="Arial" w:eastAsia="Arial" w:hAnsi="Arial"/>
          <w:b/>
          <w:bCs/>
          <w:sz w:val="32"/>
          <w:szCs w:val="32"/>
        </w:rPr>
        <w:t xml:space="preserve">12. Option 1 vs Option 2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48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Choose Option 1 (dbt + Prefect)</w:t>
            </w:r>
          </w:p>
        </w:tc>
        <w:tc>
          <w:tcPr>
            <w:tcW w:type="dxa" w:w="348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Choose Option 2 (Glue ETL +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skills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knows SQL + Python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has PySpark experience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Transform complexity</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Standard aggregations and joins</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Complex Python UDFs or ML in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scale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scale (~15K facilities, quarterly)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Anticipated growth to 100M+ rows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Vendor preference</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Open-source friendly</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All-AWS preferred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latency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Millisecond (DuckDB) — same for both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Millisecond (DuckDB) — same for both</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Cost per run</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~$0.05 transform cost</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~$0.57 transform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 fewer AWS services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all AWS but more services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Analyst access</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Athena — same for both</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Athena — same for both</w:t>
            </w:r>
          </w:p>
        </w:tc>
      </w:tr>
    </w:tbl>
    <w:p>
      <w:pPr>
        <w:spacing w:after="120"/>
      </w:pPr>
      <w:r>
        <w:t xml:space="preserve"/>
      </w:r>
    </w:p>
    <w:p>
      <w:pPr>
        <w:pStyle w:val="Heading1"/>
        <w:spacing w:before="360" w:after="200"/>
      </w:pPr>
      <w:r>
        <w:rPr>
          <w:rFonts w:ascii="Arial" w:hAnsi="Arial"/>
          <w:b/>
          <w:sz w:val="32"/>
          <w:color w:val="1F3864"/>
        </w:rPr>
        <w:t>DATA MODEL 12. Data Model</w:t>
      </w:r>
    </w:p>
    <w:p>
      <w:pPr>
        <w:spacing w:after="160"/>
      </w:pPr>
      <w:r>
        <w:rPr>
          <w:rFonts w:ascii="Arial" w:hAnsi="Arial"/>
          <w:sz w:val="22"/>
        </w:rPr>
        <w:t xml:space="preserve">The pipeline uses a star schema centred on a single fact table with four dimension tables in the Silver layer, and five pre-aggregated metric tables in the Gold layer. All transformations are expressed as dbt models running inside the data warehouse.</w:t>
      </w:r>
    </w:p>
    <w:p>
      <w:pPr>
        <w:pStyle w:val="Heading2"/>
        <w:spacing w:before="280" w:after="160"/>
      </w:pPr>
      <w:r>
        <w:rPr>
          <w:rFonts w:ascii="Arial" w:hAnsi="Arial"/>
          <w:b/>
          <w:sz w:val="28"/>
          <w:color w:val="2E5FA3"/>
        </w:rPr>
        <w:t>12.1 Design decisions</w:t>
      </w:r>
    </w:p>
    <w:p>
      <w:pPr>
        <w:numPr>
          <w:ilvl w:val="0"/>
          <w:numId w:val="1"/>
        </w:numPr>
        <w:spacing w:after="100"/>
      </w:pPr>
      <w:r>
        <w:rPr>
          <w:rFonts w:ascii="Arial" w:hAnsi="Arial"/>
          <w:sz w:val="22"/>
        </w:rPr>
        <w:t xml:space="preserve">Grain: fact_daily_staffing operates at facility + date grain, preserving full daily detail from PBJ. Gold metric tables aggregate to facility + month grain for M1 and M2, and facility grain for M3, M4, and M5.</w:t>
      </w:r>
    </w:p>
    <w:p>
      <w:pPr>
        <w:numPr>
          <w:ilvl w:val="0"/>
          <w:numId w:val="1"/>
        </w:numPr>
        <w:spacing w:after="100"/>
      </w:pPr>
      <w:r>
        <w:rPr>
          <w:rFonts w:ascii="Arial" w:hAnsi="Arial"/>
          <w:sz w:val="22"/>
        </w:rPr>
        <w:t xml:space="preserve">Star schema over wide flat table: separate dimension tables allow each metric to join only the attributes it needs, keep transformation logic clean, and support future additional metrics without redesigning the fact table.</w:t>
      </w:r>
    </w:p>
    <w:p>
      <w:pPr>
        <w:numPr>
          <w:ilvl w:val="0"/>
          <w:numId w:val="1"/>
        </w:numPr>
        <w:spacing w:after="100"/>
      </w:pPr>
      <w:r>
        <w:rPr>
          <w:rFonts w:ascii="Arial" w:hAnsi="Arial"/>
          <w:sz w:val="22"/>
        </w:rPr>
        <w:t xml:space="preserve">Surrogate keys (facility_sk, date_sk): integer surrogate keys decouple the fact table from natural key changes. Critically, surrogate keys enable Type 2 SCD on dim_facility -- each historical version of a facility row gets its own facility_sk, so fact rows join to the exact attribute values that were in effect on their work date.</w:t>
      </w:r>
    </w:p>
    <w:p>
      <w:pPr>
        <w:numPr>
          <w:ilvl w:val="0"/>
          <w:numId w:val="1"/>
        </w:numPr>
        <w:spacing w:after="100"/>
      </w:pPr>
      <w:r>
        <w:rPr>
          <w:rFonts w:ascii="Arial" w:hAnsi="Arial"/>
          <w:sz w:val="22"/>
        </w:rPr>
        <w:t xml:space="preserve">Wide flat table rejected: a single denormalised table joining all source columns produces ~200+ columns and makes it harder to track lineage. The star schema keeps each table focused on one subject area.</w:t>
      </w:r>
    </w:p>
    <w:p>
      <w:pPr>
        <w:pStyle w:val="Heading2"/>
        <w:spacing w:before="280" w:after="160"/>
      </w:pPr>
      <w:r>
        <w:rPr>
          <w:rFonts w:ascii="Arial" w:hAnsi="Arial"/>
          <w:b/>
          <w:sz w:val="28"/>
          <w:color w:val="2E5FA3"/>
        </w:rPr>
        <w:t>12.2 Fact table: fact_daily_staffing</w:t>
      </w:r>
    </w:p>
    <w:p>
      <w:pPr>
        <w:spacing w:after="160"/>
      </w:pPr>
      <w:r>
        <w:rPr>
          <w:rFonts w:ascii="Arial" w:hAnsi="Arial"/>
          <w:sz w:val="22"/>
        </w:rPr>
        <w:t xml:space="preserve">Grain: one row per facility (PROVNUM) per work date. Source: PBJ_Daily_Nurse_Staffing_Q2_2024.csv. Approximately 1.3 million rows per quarter.</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600"/>
        <w:gridCol w:w="1800"/>
        <w:gridCol w:w="4960"/>
      </w:tblGrid>
      <w:tr>
        <w:trPr>
          <w:tblHeader/>
        </w:trPr>
        <w:tc>
          <w:tcPr>
            <w:tcW w:type="dxa" w:w="2600"/>
            <w:shd w:fill="2E5FA3" w:val="clear"/>
            <w:tcMar>
              <w:top w:type="dxa" w:w="80"/>
              <w:left w:type="dxa" w:w="120"/>
              <w:bottom w:type="dxa" w:w="80"/>
              <w:right w:type="dxa" w:w="120"/>
            </w:tcMar>
          </w:tcPr>
          <w:p>
            <w:r>
              <w:rPr>
                <w:rFonts w:ascii="Arial" w:hAnsi="Arial"/>
                <w:b/>
                <w:sz w:val="20"/>
                <w:color w:val="FFFFFF"/>
              </w:rPr>
              <w:t>Column</w:t>
            </w:r>
          </w:p>
        </w:tc>
        <w:tc>
          <w:tcPr>
            <w:tcW w:type="dxa" w:w="1800"/>
            <w:shd w:fill="2E5FA3" w:val="clear"/>
            <w:tcMar>
              <w:top w:type="dxa" w:w="80"/>
              <w:left w:type="dxa" w:w="120"/>
              <w:bottom w:type="dxa" w:w="80"/>
              <w:right w:type="dxa" w:w="120"/>
            </w:tcMar>
          </w:tcPr>
          <w:p>
            <w:r>
              <w:rPr>
                <w:rFonts w:ascii="Arial" w:hAnsi="Arial"/>
                <w:b/>
                <w:sz w:val="20"/>
                <w:color w:val="FFFFFF"/>
              </w:rPr>
              <w:t>Type</w:t>
            </w:r>
          </w:p>
        </w:tc>
        <w:tc>
          <w:tcPr>
            <w:tcW w:type="dxa" w:w="4960"/>
            <w:shd w:fill="2E5FA3" w:val="clear"/>
            <w:tcMar>
              <w:top w:type="dxa" w:w="80"/>
              <w:left w:type="dxa" w:w="120"/>
              <w:bottom w:type="dxa" w:w="80"/>
              <w:right w:type="dxa" w:w="120"/>
            </w:tcMar>
          </w:tcPr>
          <w:p>
            <w:r>
              <w:rPr>
                <w:rFonts w:ascii="Arial" w:hAnsi="Arial"/>
                <w:b/>
                <w:sz w:val="20"/>
                <w:color w:val="FFFFFF"/>
              </w:rPr>
              <w:t>Description</w:t>
            </w:r>
          </w:p>
        </w:tc>
      </w:tr>
      <w:tr>
        <w:tc>
          <w:tcPr>
            <w:tcW w:type="dxa" w:w="2600"/>
            <w:shd w:fill="FFFFFF" w:val="clear"/>
            <w:tcMar>
              <w:top w:type="dxa" w:w="80"/>
              <w:left w:type="dxa" w:w="120"/>
              <w:bottom w:type="dxa" w:w="80"/>
              <w:right w:type="dxa" w:w="120"/>
            </w:tcMar>
          </w:tcPr>
          <w:p>
            <w:r>
              <w:rPr>
                <w:rFonts w:ascii="Arial" w:hAnsi="Arial"/>
                <w:sz w:val="20"/>
              </w:rPr>
              <w:t>facility_sk</w:t>
            </w:r>
          </w:p>
        </w:tc>
        <w:tc>
          <w:tcPr>
            <w:tcW w:type="dxa" w:w="1800"/>
            <w:shd w:fill="FFFFFF" w:val="clear"/>
            <w:tcMar>
              <w:top w:type="dxa" w:w="80"/>
              <w:left w:type="dxa" w:w="120"/>
              <w:bottom w:type="dxa" w:w="80"/>
              <w:right w:type="dxa" w:w="120"/>
            </w:tcMar>
          </w:tcPr>
          <w:p>
            <w:r>
              <w:rPr>
                <w:rFonts w:ascii="Arial" w:hAnsi="Arial"/>
                <w:sz w:val="20"/>
              </w:rPr>
              <w:t>INTEGER FK</w:t>
            </w:r>
          </w:p>
        </w:tc>
        <w:tc>
          <w:tcPr>
            <w:tcW w:type="dxa" w:w="4960"/>
            <w:shd w:fill="FFFFFF" w:val="clear"/>
            <w:tcMar>
              <w:top w:type="dxa" w:w="80"/>
              <w:left w:type="dxa" w:w="120"/>
              <w:bottom w:type="dxa" w:w="80"/>
              <w:right w:type="dxa" w:w="120"/>
            </w:tcMar>
          </w:tcPr>
          <w:p>
            <w:r>
              <w:rPr>
                <w:rFonts w:ascii="Arial" w:hAnsi="Arial"/>
                <w:sz w:val="20"/>
              </w:rPr>
              <w:t>Surrogate key joining to dim_facility current or historical row</w:t>
            </w:r>
          </w:p>
        </w:tc>
      </w:tr>
      <w:tr>
        <w:tc>
          <w:tcPr>
            <w:tcW w:type="dxa" w:w="2600"/>
            <w:shd w:fill="EEF3FB" w:val="clear"/>
            <w:tcMar>
              <w:top w:type="dxa" w:w="80"/>
              <w:left w:type="dxa" w:w="120"/>
              <w:bottom w:type="dxa" w:w="80"/>
              <w:right w:type="dxa" w:w="120"/>
            </w:tcMar>
          </w:tcPr>
          <w:p>
            <w:r>
              <w:rPr>
                <w:rFonts w:ascii="Arial" w:hAnsi="Arial"/>
                <w:sz w:val="20"/>
              </w:rPr>
              <w:t>date_sk</w:t>
            </w:r>
          </w:p>
        </w:tc>
        <w:tc>
          <w:tcPr>
            <w:tcW w:type="dxa" w:w="1800"/>
            <w:shd w:fill="EEF3FB" w:val="clear"/>
            <w:tcMar>
              <w:top w:type="dxa" w:w="80"/>
              <w:left w:type="dxa" w:w="120"/>
              <w:bottom w:type="dxa" w:w="80"/>
              <w:right w:type="dxa" w:w="120"/>
            </w:tcMar>
          </w:tcPr>
          <w:p>
            <w:r>
              <w:rPr>
                <w:rFonts w:ascii="Arial" w:hAnsi="Arial"/>
                <w:sz w:val="20"/>
              </w:rPr>
              <w:t>INTEGER FK</w:t>
            </w:r>
          </w:p>
        </w:tc>
        <w:tc>
          <w:tcPr>
            <w:tcW w:type="dxa" w:w="4960"/>
            <w:shd w:fill="EEF3FB" w:val="clear"/>
            <w:tcMar>
              <w:top w:type="dxa" w:w="80"/>
              <w:left w:type="dxa" w:w="120"/>
              <w:bottom w:type="dxa" w:w="80"/>
              <w:right w:type="dxa" w:w="120"/>
            </w:tcMar>
          </w:tcPr>
          <w:p>
            <w:r>
              <w:rPr>
                <w:rFonts w:ascii="Arial" w:hAnsi="Arial"/>
                <w:sz w:val="20"/>
              </w:rPr>
              <w:t>Surrogate key joining to dim_date</w:t>
            </w:r>
          </w:p>
        </w:tc>
      </w:tr>
      <w:tr>
        <w:tc>
          <w:tcPr>
            <w:tcW w:type="dxa" w:w="2600"/>
            <w:shd w:fill="FFFFFF" w:val="clear"/>
            <w:tcMar>
              <w:top w:type="dxa" w:w="80"/>
              <w:left w:type="dxa" w:w="120"/>
              <w:bottom w:type="dxa" w:w="80"/>
              <w:right w:type="dxa" w:w="120"/>
            </w:tcMar>
          </w:tcPr>
          <w:p>
            <w:r>
              <w:rPr>
                <w:rFonts w:ascii="Arial" w:hAnsi="Arial"/>
                <w:sz w:val="20"/>
              </w:rPr>
              <w:t>mds_census</w:t>
            </w:r>
          </w:p>
        </w:tc>
        <w:tc>
          <w:tcPr>
            <w:tcW w:type="dxa" w:w="1800"/>
            <w:shd w:fill="FFFFFF" w:val="clear"/>
            <w:tcMar>
              <w:top w:type="dxa" w:w="80"/>
              <w:left w:type="dxa" w:w="120"/>
              <w:bottom w:type="dxa" w:w="80"/>
              <w:right w:type="dxa" w:w="120"/>
            </w:tcMar>
          </w:tcPr>
          <w:p>
            <w:r>
              <w:rPr>
                <w:rFonts w:ascii="Arial" w:hAnsi="Arial"/>
                <w:sz w:val="20"/>
              </w:rPr>
              <w:t>INTEGER</w:t>
            </w:r>
          </w:p>
        </w:tc>
        <w:tc>
          <w:tcPr>
            <w:tcW w:type="dxa" w:w="4960"/>
            <w:shd w:fill="FFFFFF" w:val="clear"/>
            <w:tcMar>
              <w:top w:type="dxa" w:w="80"/>
              <w:left w:type="dxa" w:w="120"/>
              <w:bottom w:type="dxa" w:w="80"/>
              <w:right w:type="dxa" w:w="120"/>
            </w:tcMar>
          </w:tcPr>
          <w:p>
            <w:r>
              <w:rPr>
                <w:rFonts w:ascii="Arial" w:hAnsi="Arial"/>
                <w:sz w:val="20"/>
              </w:rPr>
              <w:t>Daily resident count from MDS assessment. Rows where value = 0 excluded (320 rows identified in DQA).</w:t>
            </w:r>
          </w:p>
        </w:tc>
      </w:tr>
      <w:tr>
        <w:tc>
          <w:tcPr>
            <w:tcW w:type="dxa" w:w="2600"/>
            <w:shd w:fill="EEF3FB" w:val="clear"/>
            <w:tcMar>
              <w:top w:type="dxa" w:w="80"/>
              <w:left w:type="dxa" w:w="120"/>
              <w:bottom w:type="dxa" w:w="80"/>
              <w:right w:type="dxa" w:w="120"/>
            </w:tcMar>
          </w:tcPr>
          <w:p>
            <w:r>
              <w:rPr>
                <w:rFonts w:ascii="Arial" w:hAnsi="Arial"/>
                <w:sz w:val="20"/>
              </w:rPr>
              <w:t>hrs_rn / hrs_lpn / hrs_cna</w:t>
            </w:r>
          </w:p>
        </w:tc>
        <w:tc>
          <w:tcPr>
            <w:tcW w:type="dxa" w:w="1800"/>
            <w:shd w:fill="EEF3FB" w:val="clear"/>
            <w:tcMar>
              <w:top w:type="dxa" w:w="80"/>
              <w:left w:type="dxa" w:w="120"/>
              <w:bottom w:type="dxa" w:w="80"/>
              <w:right w:type="dxa" w:w="120"/>
            </w:tcMar>
          </w:tcPr>
          <w:p>
            <w:r>
              <w:rPr>
                <w:rFonts w:ascii="Arial" w:hAnsi="Arial"/>
                <w:sz w:val="20"/>
              </w:rPr>
              <w:t>FLOAT</w:t>
            </w:r>
          </w:p>
        </w:tc>
        <w:tc>
          <w:tcPr>
            <w:tcW w:type="dxa" w:w="4960"/>
            <w:shd w:fill="EEF3FB" w:val="clear"/>
            <w:tcMar>
              <w:top w:type="dxa" w:w="80"/>
              <w:left w:type="dxa" w:w="120"/>
              <w:bottom w:type="dxa" w:w="80"/>
              <w:right w:type="dxa" w:w="120"/>
            </w:tcMar>
          </w:tcPr>
          <w:p>
            <w:r>
              <w:rPr>
                <w:rFonts w:ascii="Arial" w:hAnsi="Arial"/>
                <w:sz w:val="20"/>
              </w:rPr>
              <w:t>Total hours by role. Zeros valid (role not staffed that day). Marigold outlier row excluded.</w:t>
            </w:r>
          </w:p>
        </w:tc>
      </w:tr>
      <w:tr>
        <w:tc>
          <w:tcPr>
            <w:tcW w:type="dxa" w:w="2600"/>
            <w:shd w:fill="FFFFFF" w:val="clear"/>
            <w:tcMar>
              <w:top w:type="dxa" w:w="80"/>
              <w:left w:type="dxa" w:w="120"/>
              <w:bottom w:type="dxa" w:w="80"/>
              <w:right w:type="dxa" w:w="120"/>
            </w:tcMar>
          </w:tcPr>
          <w:p>
            <w:r>
              <w:rPr>
                <w:rFonts w:ascii="Arial" w:hAnsi="Arial"/>
                <w:sz w:val="20"/>
              </w:rPr>
              <w:t>hrs_*_emp / hrs_*_ctr</w:t>
            </w:r>
          </w:p>
        </w:tc>
        <w:tc>
          <w:tcPr>
            <w:tcW w:type="dxa" w:w="1800"/>
            <w:shd w:fill="FFFFFF" w:val="clear"/>
            <w:tcMar>
              <w:top w:type="dxa" w:w="80"/>
              <w:left w:type="dxa" w:w="120"/>
              <w:bottom w:type="dxa" w:w="80"/>
              <w:right w:type="dxa" w:w="120"/>
            </w:tcMar>
          </w:tcPr>
          <w:p>
            <w:r>
              <w:rPr>
                <w:rFonts w:ascii="Arial" w:hAnsi="Arial"/>
                <w:sz w:val="20"/>
              </w:rPr>
              <w:t>FLOAT</w:t>
            </w:r>
          </w:p>
        </w:tc>
        <w:tc>
          <w:tcPr>
            <w:tcW w:type="dxa" w:w="4960"/>
            <w:shd w:fill="FFFFFF" w:val="clear"/>
            <w:tcMar>
              <w:top w:type="dxa" w:w="80"/>
              <w:left w:type="dxa" w:w="120"/>
              <w:bottom w:type="dxa" w:w="80"/>
              <w:right w:type="dxa" w:w="120"/>
            </w:tcMar>
          </w:tcPr>
          <w:p>
            <w:r>
              <w:rPr>
                <w:rFonts w:ascii="Arial" w:hAnsi="Arial"/>
                <w:sz w:val="20"/>
              </w:rPr>
              <w:t>Employed vs contract split per role. Used for M3 contract ratio metric.</w:t>
            </w:r>
          </w:p>
        </w:tc>
      </w:tr>
      <w:tr>
        <w:tc>
          <w:tcPr>
            <w:tcW w:type="dxa" w:w="2600"/>
            <w:shd w:fill="EEF3FB" w:val="clear"/>
            <w:tcMar>
              <w:top w:type="dxa" w:w="80"/>
              <w:left w:type="dxa" w:w="120"/>
              <w:bottom w:type="dxa" w:w="80"/>
              <w:right w:type="dxa" w:w="120"/>
            </w:tcMar>
          </w:tcPr>
          <w:p>
            <w:r>
              <w:rPr>
                <w:rFonts w:ascii="Arial" w:hAnsi="Arial"/>
                <w:sz w:val="20"/>
              </w:rPr>
              <w:t>nurse_ratio (derived)</w:t>
            </w:r>
          </w:p>
        </w:tc>
        <w:tc>
          <w:tcPr>
            <w:tcW w:type="dxa" w:w="1800"/>
            <w:shd w:fill="EEF3FB" w:val="clear"/>
            <w:tcMar>
              <w:top w:type="dxa" w:w="80"/>
              <w:left w:type="dxa" w:w="120"/>
              <w:bottom w:type="dxa" w:w="80"/>
              <w:right w:type="dxa" w:w="120"/>
            </w:tcMar>
          </w:tcPr>
          <w:p>
            <w:r>
              <w:rPr>
                <w:rFonts w:ascii="Arial" w:hAnsi="Arial"/>
                <w:sz w:val="20"/>
              </w:rPr>
              <w:t>FLOAT</w:t>
            </w:r>
          </w:p>
        </w:tc>
        <w:tc>
          <w:tcPr>
            <w:tcW w:type="dxa" w:w="4960"/>
            <w:shd w:fill="EEF3FB" w:val="clear"/>
            <w:tcMar>
              <w:top w:type="dxa" w:w="80"/>
              <w:left w:type="dxa" w:w="120"/>
              <w:bottom w:type="dxa" w:w="80"/>
              <w:right w:type="dxa" w:w="120"/>
            </w:tcMar>
          </w:tcPr>
          <w:p>
            <w:r>
              <w:rPr>
                <w:rFonts w:ascii="Arial" w:hAnsi="Arial"/>
                <w:sz w:val="20"/>
              </w:rPr>
              <w:t>(hrs_rn + hrs_lpn + hrs_cna) / mds_census. NULL when census = 0.</w:t>
            </w:r>
          </w:p>
        </w:tc>
      </w:tr>
      <w:tr>
        <w:tc>
          <w:tcPr>
            <w:tcW w:type="dxa" w:w="2600"/>
            <w:shd w:fill="FFFFFF" w:val="clear"/>
            <w:tcMar>
              <w:top w:type="dxa" w:w="80"/>
              <w:left w:type="dxa" w:w="120"/>
              <w:bottom w:type="dxa" w:w="80"/>
              <w:right w:type="dxa" w:w="120"/>
            </w:tcMar>
          </w:tcPr>
          <w:p>
            <w:r>
              <w:rPr>
                <w:rFonts w:ascii="Arial" w:hAnsi="Arial"/>
                <w:sz w:val="20"/>
              </w:rPr>
              <w:t>contract_pct (derived)</w:t>
            </w:r>
          </w:p>
        </w:tc>
        <w:tc>
          <w:tcPr>
            <w:tcW w:type="dxa" w:w="1800"/>
            <w:shd w:fill="FFFFFF" w:val="clear"/>
            <w:tcMar>
              <w:top w:type="dxa" w:w="80"/>
              <w:left w:type="dxa" w:w="120"/>
              <w:bottom w:type="dxa" w:w="80"/>
              <w:right w:type="dxa" w:w="120"/>
            </w:tcMar>
          </w:tcPr>
          <w:p>
            <w:r>
              <w:rPr>
                <w:rFonts w:ascii="Arial" w:hAnsi="Arial"/>
                <w:sz w:val="20"/>
              </w:rPr>
              <w:t>FLOAT</w:t>
            </w:r>
          </w:p>
        </w:tc>
        <w:tc>
          <w:tcPr>
            <w:tcW w:type="dxa" w:w="4960"/>
            <w:shd w:fill="FFFFFF" w:val="clear"/>
            <w:tcMar>
              <w:top w:type="dxa" w:w="80"/>
              <w:left w:type="dxa" w:w="120"/>
              <w:bottom w:type="dxa" w:w="80"/>
              <w:right w:type="dxa" w:w="120"/>
            </w:tcMar>
          </w:tcPr>
          <w:p>
            <w:r>
              <w:rPr>
                <w:rFonts w:ascii="Arial" w:hAnsi="Arial"/>
                <w:sz w:val="20"/>
              </w:rPr>
              <w:t>sum(_ctr cols) / sum(all hrs cols). Flagged as high when above 0.30.</w:t>
            </w:r>
          </w:p>
        </w:tc>
      </w:tr>
    </w:tbl>
    <w:p>
      <w:pPr>
        <w:spacing w:after="160"/>
      </w:pPr>
      <w:r>
        <w:rPr>
          <w:sz w:val="22"/>
        </w:rPr>
        <w:t xml:space="preserve"/>
      </w:r>
    </w:p>
    <w:p>
      <w:pPr>
        <w:pStyle w:val="Heading2"/>
        <w:spacing w:before="280" w:after="160"/>
      </w:pPr>
      <w:r>
        <w:rPr>
          <w:rFonts w:ascii="Arial" w:hAnsi="Arial"/>
          <w:b/>
          <w:sz w:val="28"/>
          <w:color w:val="2E5FA3"/>
        </w:rPr>
        <w:t>12.3 dim_facility -- Type 2 SCD</w:t>
      </w:r>
    </w:p>
    <w:p>
      <w:pPr>
        <w:spacing w:after="160"/>
      </w:pPr>
      <w:r>
        <w:rPr>
          <w:rFonts w:ascii="Arial" w:hAnsi="Arial"/>
          <w:sz w:val="22"/>
        </w:rPr>
        <w:t xml:space="preserve">Source: NH_ProviderInfo_Oct2024. Refreshed monthly. Implemented as a dbt snapshot using the check strategy -- dbt compares the current ProviderInfo snapshot against the previous version on provnum as the natural key. When any tracked column changes (overall_rating, staffing_rating, qm_rating, certified_beds, provider_type, ownership_type), dbt closes the old row by setting dbt_valid_to to today and inserts a new row with dbt_valid_from set to today.</w:t>
      </w:r>
    </w:p>
    <w:p>
      <w:pPr>
        <w:spacing w:after="160"/>
      </w:pPr>
      <w:r>
        <w:rPr>
          <w:rFonts w:ascii="Arial" w:hAnsi="Arial"/>
          <w:sz w:val="22"/>
        </w:rPr>
        <w:t xml:space="preserve">Key SCD columns added by dbt automatically: dbt_scd_id (row hash), dbt_valid_from (row effective start date), dbt_valid_to (NULL = currently active), dbt_updated_at, is_current (derived boolean).</w:t>
      </w:r>
    </w:p>
    <w:p>
      <w:pPr>
        <w:spacing w:after="160"/>
      </w:pPr>
      <w:r>
        <w:rPr>
          <w:rFonts w:ascii="Arial" w:hAnsi="Arial"/>
          <w:sz w:val="22"/>
        </w:rPr>
        <w:t xml:space="preserve">Why Type 2 over Type 1: joining current ratings to historical Q2 2024 staffing facts would be temporally incorrect. A facility whose star rating changed between Q2 2024 and October 2024 would be misrepresented in M5 correlation analysis. Type 2 ensures each fact row is joined to the facility attributes that were in effect on its work date.</w:t>
      </w:r>
    </w:p>
    <w:p>
      <w:pPr>
        <w:spacing w:after="160"/>
      </w:pPr>
      <w:r>
        <w:rPr>
          <w:rFonts w:ascii="Arial" w:hAnsi="Arial"/>
          <w:sz w:val="22"/>
        </w:rPr>
        <w:t xml:space="preserve">Join pattern for temporally correct analysis: JOIN dim_facility d ON f.work_date BETWEEN d.dbt_valid_from AND COALESCE(d.dbt_valid_to, ‘9999-12-31’). For current-state dashboard views: WHERE d.is_current = TRUE.</w:t>
      </w:r>
    </w:p>
    <w:p>
      <w:pPr>
        <w:pStyle w:val="Heading2"/>
        <w:spacing w:before="280" w:after="160"/>
      </w:pPr>
      <w:r>
        <w:rPr>
          <w:rFonts w:ascii="Arial" w:hAnsi="Arial"/>
          <w:b/>
          <w:sz w:val="28"/>
          <w:color w:val="2E5FA3"/>
        </w:rPr>
        <w:t>12.4 Supporting dimensions</w:t>
      </w:r>
    </w:p>
    <w:p>
      <w:pPr>
        <w:numPr>
          <w:ilvl w:val="0"/>
          <w:numId w:val="1"/>
        </w:numPr>
        <w:spacing w:after="100"/>
      </w:pPr>
      <w:r>
        <w:rPr>
          <w:rFonts w:ascii="Arial" w:hAnsi="Arial"/>
          <w:sz w:val="22"/>
        </w:rPr>
        <w:t xml:space="preserve">dim_date: pre-populated date dimension covering all dates from 2020 onwards. Columns: date_sk (PK), full_date, year, quarter, month, month_name, day_of_week, is_weekend, cy_quarter. The is_weekend flag directly supports M1 -- CMS separately reports weekend staffing ratios which are consistently lower than weekday ratios and are a regulatory concern. Type 1 (no history needed -- dates never change).</w:t>
      </w:r>
    </w:p>
    <w:p>
      <w:pPr>
        <w:numPr>
          <w:ilvl w:val="0"/>
          <w:numId w:val="1"/>
        </w:numPr>
        <w:spacing w:after="100"/>
      </w:pPr>
      <w:r>
        <w:rPr>
          <w:rFonts w:ascii="Arial" w:hAnsi="Arial"/>
          <w:sz w:val="22"/>
        </w:rPr>
        <w:t xml:space="preserve">dim_readmission: one row per facility from SNF_VBP_Facility_Performance. Contains baseline_rsrr, performance_rsrr, achievement_score, performance_score, vbp_ranking, measure_period. Type 1 (VBP updates annually -- no intra-year changes). Note: only 10,595 of 14,564 PBJ facilities appear in VBP (facilities need 25+ eligible Medicare stays). M5 covers this subset only.</w:t>
      </w:r>
    </w:p>
    <w:p>
      <w:pPr>
        <w:numPr>
          <w:ilvl w:val="0"/>
          <w:numId w:val="1"/>
        </w:numPr>
        <w:spacing w:after="100"/>
      </w:pPr>
      <w:r>
        <w:rPr>
          <w:rFonts w:ascii="Arial" w:hAnsi="Arial"/>
          <w:sz w:val="22"/>
        </w:rPr>
        <w:t xml:space="preserve">dim_penalty: pre-aggregated from NH_Penalties (which is one row per penalty event). A dbt intermediate model groups by CCN first: total_fines (count), total_fine_amount (sum), payment_denials (count), total_penalties (count), has_penalty (boolean), high_fine_flag (top quartile by fine amount). Type 1 -- current penalty summary only.</w:t>
      </w:r>
    </w:p>
    <w:p>
      <w:pPr>
        <w:pStyle w:val="Heading2"/>
        <w:spacing w:before="280" w:after="160"/>
      </w:pPr>
      <w:r>
        <w:rPr>
          <w:rFonts w:ascii="Arial" w:hAnsi="Arial"/>
          <w:b/>
          <w:sz w:val="28"/>
          <w:color w:val="2E5FA3"/>
        </w:rPr>
        <w:t>12.5 Gold metric tables</w:t>
      </w:r>
    </w:p>
    <w:p>
      <w:pPr>
        <w:spacing w:after="160"/>
      </w:pPr>
      <w:r>
        <w:rPr>
          <w:rFonts w:ascii="Arial" w:hAnsi="Arial"/>
          <w:sz w:val="22"/>
        </w:rPr>
        <w:t xml:space="preserve">All Gold tables are produced by dbt mart models aggregating from fact_daily_staffing joined to the relevant dimensions. Each is materialised as a table (not a view) for dashboard query performance.</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1600"/>
        <w:gridCol w:w="2000"/>
        <w:gridCol w:w="1600"/>
        <w:gridCol w:w="4160"/>
      </w:tblGrid>
      <w:tr>
        <w:trPr>
          <w:tblHeader/>
        </w:trPr>
        <w:tc>
          <w:tcPr>
            <w:tcW w:type="dxa" w:w="1600"/>
            <w:shd w:fill="2E5FA3" w:val="clear"/>
            <w:tcMar>
              <w:top w:type="dxa" w:w="80"/>
              <w:left w:type="dxa" w:w="120"/>
              <w:bottom w:type="dxa" w:w="80"/>
              <w:right w:type="dxa" w:w="120"/>
            </w:tcMar>
          </w:tcPr>
          <w:p>
            <w:r>
              <w:rPr>
                <w:rFonts w:ascii="Arial" w:hAnsi="Arial"/>
                <w:b/>
                <w:sz w:val="20"/>
                <w:color w:val="FFFFFF"/>
              </w:rPr>
              <w:t>Table</w:t>
            </w:r>
          </w:p>
        </w:tc>
        <w:tc>
          <w:tcPr>
            <w:tcW w:type="dxa" w:w="2000"/>
            <w:shd w:fill="2E5FA3" w:val="clear"/>
            <w:tcMar>
              <w:top w:type="dxa" w:w="80"/>
              <w:left w:type="dxa" w:w="120"/>
              <w:bottom w:type="dxa" w:w="80"/>
              <w:right w:type="dxa" w:w="120"/>
            </w:tcMar>
          </w:tcPr>
          <w:p>
            <w:r>
              <w:rPr>
                <w:rFonts w:ascii="Arial" w:hAnsi="Arial"/>
                <w:b/>
                <w:sz w:val="20"/>
                <w:color w:val="FFFFFF"/>
              </w:rPr>
              <w:t>Grain</w:t>
            </w:r>
          </w:p>
        </w:tc>
        <w:tc>
          <w:tcPr>
            <w:tcW w:type="dxa" w:w="1600"/>
            <w:shd w:fill="2E5FA3" w:val="clear"/>
            <w:tcMar>
              <w:top w:type="dxa" w:w="80"/>
              <w:left w:type="dxa" w:w="120"/>
              <w:bottom w:type="dxa" w:w="80"/>
              <w:right w:type="dxa" w:w="120"/>
            </w:tcMar>
          </w:tcPr>
          <w:p>
            <w:r>
              <w:rPr>
                <w:rFonts w:ascii="Arial" w:hAnsi="Arial"/>
                <w:b/>
                <w:sz w:val="20"/>
                <w:color w:val="FFFFFF"/>
              </w:rPr>
              <w:t>Key output columns</w:t>
            </w:r>
          </w:p>
        </w:tc>
        <w:tc>
          <w:tcPr>
            <w:tcW w:type="dxa" w:w="4160"/>
            <w:shd w:fill="2E5FA3" w:val="clear"/>
            <w:tcMar>
              <w:top w:type="dxa" w:w="80"/>
              <w:left w:type="dxa" w:w="120"/>
              <w:bottom w:type="dxa" w:w="80"/>
              <w:right w:type="dxa" w:w="120"/>
            </w:tcMar>
          </w:tcPr>
          <w:p>
            <w:r>
              <w:rPr>
                <w:rFonts w:ascii="Arial" w:hAnsi="Arial"/>
                <w:b/>
                <w:sz w:val="20"/>
                <w:color w:val="FFFFFF"/>
              </w:rPr>
              <w:t>Business question answered</w:t>
            </w:r>
          </w:p>
        </w:tc>
      </w:tr>
      <w:tr>
        <w:tc>
          <w:tcPr>
            <w:tcW w:type="dxa" w:w="1600"/>
            <w:shd w:fill="FFFFFF" w:val="clear"/>
            <w:tcMar>
              <w:top w:type="dxa" w:w="80"/>
              <w:left w:type="dxa" w:w="120"/>
              <w:bottom w:type="dxa" w:w="80"/>
              <w:right w:type="dxa" w:w="120"/>
            </w:tcMar>
          </w:tcPr>
          <w:p>
            <w:r>
              <w:rPr>
                <w:rFonts w:ascii="Arial" w:hAnsi="Arial"/>
                <w:sz w:val="20"/>
              </w:rPr>
              <w:t>m1_nurse_ratio</w:t>
            </w:r>
          </w:p>
        </w:tc>
        <w:tc>
          <w:tcPr>
            <w:tcW w:type="dxa" w:w="2000"/>
            <w:shd w:fill="FFFFFF" w:val="clear"/>
            <w:tcMar>
              <w:top w:type="dxa" w:w="80"/>
              <w:left w:type="dxa" w:w="120"/>
              <w:bottom w:type="dxa" w:w="80"/>
              <w:right w:type="dxa" w:w="120"/>
            </w:tcMar>
          </w:tcPr>
          <w:p>
            <w:r>
              <w:rPr>
                <w:rFonts w:ascii="Arial" w:hAnsi="Arial"/>
                <w:sz w:val="20"/>
              </w:rPr>
              <w:t>Facility + month</w:t>
            </w:r>
          </w:p>
        </w:tc>
        <w:tc>
          <w:tcPr>
            <w:tcW w:type="dxa" w:w="1600"/>
            <w:shd w:fill="FFFFFF" w:val="clear"/>
            <w:tcMar>
              <w:top w:type="dxa" w:w="80"/>
              <w:left w:type="dxa" w:w="120"/>
              <w:bottom w:type="dxa" w:w="80"/>
              <w:right w:type="dxa" w:w="120"/>
            </w:tcMar>
          </w:tcPr>
          <w:p>
            <w:r>
              <w:rPr>
                <w:rFonts w:ascii="Arial" w:hAnsi="Arial"/>
                <w:sz w:val="20"/>
              </w:rPr>
              <w:t>avg_nurse_ratio, low_staffing_flag</w:t>
            </w:r>
          </w:p>
        </w:tc>
        <w:tc>
          <w:tcPr>
            <w:tcW w:type="dxa" w:w="4160"/>
            <w:shd w:fill="FFFFFF" w:val="clear"/>
            <w:tcMar>
              <w:top w:type="dxa" w:w="80"/>
              <w:left w:type="dxa" w:w="120"/>
              <w:bottom w:type="dxa" w:w="80"/>
              <w:right w:type="dxa" w:w="120"/>
            </w:tcMar>
          </w:tcPr>
          <w:p>
            <w:r>
              <w:rPr>
                <w:rFonts w:ascii="Arial" w:hAnsi="Arial"/>
                <w:sz w:val="20"/>
              </w:rPr>
              <w:t>Average staffing levels by facility, state, and provider type</w:t>
            </w:r>
          </w:p>
        </w:tc>
      </w:tr>
      <w:tr>
        <w:tc>
          <w:tcPr>
            <w:tcW w:type="dxa" w:w="1600"/>
            <w:shd w:fill="EEF3FB" w:val="clear"/>
            <w:tcMar>
              <w:top w:type="dxa" w:w="80"/>
              <w:left w:type="dxa" w:w="120"/>
              <w:bottom w:type="dxa" w:w="80"/>
              <w:right w:type="dxa" w:w="120"/>
            </w:tcMar>
          </w:tcPr>
          <w:p>
            <w:r>
              <w:rPr>
                <w:rFonts w:ascii="Arial" w:hAnsi="Arial"/>
                <w:sz w:val="20"/>
              </w:rPr>
              <w:t>m2_total_hours</w:t>
            </w:r>
          </w:p>
        </w:tc>
        <w:tc>
          <w:tcPr>
            <w:tcW w:type="dxa" w:w="2000"/>
            <w:shd w:fill="EEF3FB" w:val="clear"/>
            <w:tcMar>
              <w:top w:type="dxa" w:w="80"/>
              <w:left w:type="dxa" w:w="120"/>
              <w:bottom w:type="dxa" w:w="80"/>
              <w:right w:type="dxa" w:w="120"/>
            </w:tcMar>
          </w:tcPr>
          <w:p>
            <w:r>
              <w:rPr>
                <w:rFonts w:ascii="Arial" w:hAnsi="Arial"/>
                <w:sz w:val="20"/>
              </w:rPr>
              <w:t>Facility + month</w:t>
            </w:r>
          </w:p>
        </w:tc>
        <w:tc>
          <w:tcPr>
            <w:tcW w:type="dxa" w:w="1600"/>
            <w:shd w:fill="EEF3FB" w:val="clear"/>
            <w:tcMar>
              <w:top w:type="dxa" w:w="80"/>
              <w:left w:type="dxa" w:w="120"/>
              <w:bottom w:type="dxa" w:w="80"/>
              <w:right w:type="dxa" w:w="120"/>
            </w:tcMar>
          </w:tcPr>
          <w:p>
            <w:r>
              <w:rPr>
                <w:rFonts w:ascii="Arial" w:hAnsi="Arial"/>
                <w:sz w:val="20"/>
              </w:rPr>
              <w:t>total_rn_hrs, total_lpn_hrs, total_cna_hrs</w:t>
            </w:r>
          </w:p>
        </w:tc>
        <w:tc>
          <w:tcPr>
            <w:tcW w:type="dxa" w:w="4160"/>
            <w:shd w:fill="EEF3FB" w:val="clear"/>
            <w:tcMar>
              <w:top w:type="dxa" w:w="80"/>
              <w:left w:type="dxa" w:w="120"/>
              <w:bottom w:type="dxa" w:w="80"/>
              <w:right w:type="dxa" w:w="120"/>
            </w:tcMar>
          </w:tcPr>
          <w:p>
            <w:r>
              <w:rPr>
                <w:rFonts w:ascii="Arial" w:hAnsi="Arial"/>
                <w:sz w:val="20"/>
              </w:rPr>
              <w:t>Total nursing hours by state and month with role breakdown</w:t>
            </w:r>
          </w:p>
        </w:tc>
      </w:tr>
      <w:tr>
        <w:tc>
          <w:tcPr>
            <w:tcW w:type="dxa" w:w="1600"/>
            <w:shd w:fill="FFFFFF" w:val="clear"/>
            <w:tcMar>
              <w:top w:type="dxa" w:w="80"/>
              <w:left w:type="dxa" w:w="120"/>
              <w:bottom w:type="dxa" w:w="80"/>
              <w:right w:type="dxa" w:w="120"/>
            </w:tcMar>
          </w:tcPr>
          <w:p>
            <w:r>
              <w:rPr>
                <w:rFonts w:ascii="Arial" w:hAnsi="Arial"/>
                <w:sz w:val="20"/>
              </w:rPr>
              <w:t>m3_contract_ratio</w:t>
            </w:r>
          </w:p>
        </w:tc>
        <w:tc>
          <w:tcPr>
            <w:tcW w:type="dxa" w:w="2000"/>
            <w:shd w:fill="FFFFFF" w:val="clear"/>
            <w:tcMar>
              <w:top w:type="dxa" w:w="80"/>
              <w:left w:type="dxa" w:w="120"/>
              <w:bottom w:type="dxa" w:w="80"/>
              <w:right w:type="dxa" w:w="120"/>
            </w:tcMar>
          </w:tcPr>
          <w:p>
            <w:r>
              <w:rPr>
                <w:rFonts w:ascii="Arial" w:hAnsi="Arial"/>
                <w:sz w:val="20"/>
              </w:rPr>
              <w:t>Facility (Q2 2024)</w:t>
            </w:r>
          </w:p>
        </w:tc>
        <w:tc>
          <w:tcPr>
            <w:tcW w:type="dxa" w:w="1600"/>
            <w:shd w:fill="FFFFFF" w:val="clear"/>
            <w:tcMar>
              <w:top w:type="dxa" w:w="80"/>
              <w:left w:type="dxa" w:w="120"/>
              <w:bottom w:type="dxa" w:w="80"/>
              <w:right w:type="dxa" w:w="120"/>
            </w:tcMar>
          </w:tcPr>
          <w:p>
            <w:r>
              <w:rPr>
                <w:rFonts w:ascii="Arial" w:hAnsi="Arial"/>
                <w:sz w:val="20"/>
              </w:rPr>
              <w:t>contract_pct, high_contract_flag</w:t>
            </w:r>
          </w:p>
        </w:tc>
        <w:tc>
          <w:tcPr>
            <w:tcW w:type="dxa" w:w="4160"/>
            <w:shd w:fill="FFFFFF" w:val="clear"/>
            <w:tcMar>
              <w:top w:type="dxa" w:w="80"/>
              <w:left w:type="dxa" w:w="120"/>
              <w:bottom w:type="dxa" w:w="80"/>
              <w:right w:type="dxa" w:w="120"/>
            </w:tcMar>
          </w:tcPr>
          <w:p>
            <w:r>
              <w:rPr>
                <w:rFonts w:ascii="Arial" w:hAnsi="Arial"/>
                <w:sz w:val="20"/>
              </w:rPr>
              <w:t>Ratio of permanent to contract staff per facility</w:t>
            </w:r>
          </w:p>
        </w:tc>
      </w:tr>
      <w:tr>
        <w:tc>
          <w:tcPr>
            <w:tcW w:type="dxa" w:w="1600"/>
            <w:shd w:fill="EEF3FB" w:val="clear"/>
            <w:tcMar>
              <w:top w:type="dxa" w:w="80"/>
              <w:left w:type="dxa" w:w="120"/>
              <w:bottom w:type="dxa" w:w="80"/>
              <w:right w:type="dxa" w:w="120"/>
            </w:tcMar>
          </w:tcPr>
          <w:p>
            <w:r>
              <w:rPr>
                <w:rFonts w:ascii="Arial" w:hAnsi="Arial"/>
                <w:sz w:val="20"/>
              </w:rPr>
              <w:t>m4_occupancy</w:t>
            </w:r>
          </w:p>
        </w:tc>
        <w:tc>
          <w:tcPr>
            <w:tcW w:type="dxa" w:w="2000"/>
            <w:shd w:fill="EEF3FB" w:val="clear"/>
            <w:tcMar>
              <w:top w:type="dxa" w:w="80"/>
              <w:left w:type="dxa" w:w="120"/>
              <w:bottom w:type="dxa" w:w="80"/>
              <w:right w:type="dxa" w:w="120"/>
            </w:tcMar>
          </w:tcPr>
          <w:p>
            <w:r>
              <w:rPr>
                <w:rFonts w:ascii="Arial" w:hAnsi="Arial"/>
                <w:sz w:val="20"/>
              </w:rPr>
              <w:t>Facility (Q2 2024)</w:t>
            </w:r>
          </w:p>
        </w:tc>
        <w:tc>
          <w:tcPr>
            <w:tcW w:type="dxa" w:w="1600"/>
            <w:shd w:fill="EEF3FB" w:val="clear"/>
            <w:tcMar>
              <w:top w:type="dxa" w:w="80"/>
              <w:left w:type="dxa" w:w="120"/>
              <w:bottom w:type="dxa" w:w="80"/>
              <w:right w:type="dxa" w:w="120"/>
            </w:tcMar>
          </w:tcPr>
          <w:p>
            <w:r>
              <w:rPr>
                <w:rFonts w:ascii="Arial" w:hAnsi="Arial"/>
                <w:sz w:val="20"/>
              </w:rPr>
              <w:t>occupancy_rate_pct, throughput_rank</w:t>
            </w:r>
          </w:p>
        </w:tc>
        <w:tc>
          <w:tcPr>
            <w:tcW w:type="dxa" w:w="4160"/>
            <w:shd w:fill="EEF3FB" w:val="clear"/>
            <w:tcMar>
              <w:top w:type="dxa" w:w="80"/>
              <w:left w:type="dxa" w:w="120"/>
              <w:bottom w:type="dxa" w:w="80"/>
              <w:right w:type="dxa" w:w="120"/>
            </w:tcMar>
          </w:tcPr>
          <w:p>
            <w:r>
              <w:rPr>
                <w:rFonts w:ascii="Arial" w:hAnsi="Arial"/>
                <w:sz w:val="20"/>
              </w:rPr>
              <w:t>Occupancy rates and top 10 facilities by patient throughput</w:t>
            </w:r>
          </w:p>
        </w:tc>
      </w:tr>
      <w:tr>
        <w:tc>
          <w:tcPr>
            <w:tcW w:type="dxa" w:w="1600"/>
            <w:shd w:fill="FFFFFF" w:val="clear"/>
            <w:tcMar>
              <w:top w:type="dxa" w:w="80"/>
              <w:left w:type="dxa" w:w="120"/>
              <w:bottom w:type="dxa" w:w="80"/>
              <w:right w:type="dxa" w:w="120"/>
            </w:tcMar>
          </w:tcPr>
          <w:p>
            <w:r>
              <w:rPr>
                <w:rFonts w:ascii="Arial" w:hAnsi="Arial"/>
                <w:sz w:val="20"/>
              </w:rPr>
              <w:t>m5_readmission_staffing</w:t>
            </w:r>
          </w:p>
        </w:tc>
        <w:tc>
          <w:tcPr>
            <w:tcW w:type="dxa" w:w="2000"/>
            <w:shd w:fill="FFFFFF" w:val="clear"/>
            <w:tcMar>
              <w:top w:type="dxa" w:w="80"/>
              <w:left w:type="dxa" w:w="120"/>
              <w:bottom w:type="dxa" w:w="80"/>
              <w:right w:type="dxa" w:w="120"/>
            </w:tcMar>
          </w:tcPr>
          <w:p>
            <w:r>
              <w:rPr>
                <w:rFonts w:ascii="Arial" w:hAnsi="Arial"/>
                <w:sz w:val="20"/>
              </w:rPr>
              <w:t>Facility (cross-period)</w:t>
            </w:r>
          </w:p>
        </w:tc>
        <w:tc>
          <w:tcPr>
            <w:tcW w:type="dxa" w:w="1600"/>
            <w:shd w:fill="FFFFFF" w:val="clear"/>
            <w:tcMar>
              <w:top w:type="dxa" w:w="80"/>
              <w:left w:type="dxa" w:w="120"/>
              <w:bottom w:type="dxa" w:w="80"/>
              <w:right w:type="dxa" w:w="120"/>
            </w:tcMar>
          </w:tcPr>
          <w:p>
            <w:r>
              <w:rPr>
                <w:rFonts w:ascii="Arial" w:hAnsi="Arial"/>
                <w:sz w:val="20"/>
              </w:rPr>
              <w:t>staffing_quartile, pearson_r, risk_score</w:t>
            </w:r>
          </w:p>
        </w:tc>
        <w:tc>
          <w:tcPr>
            <w:tcW w:type="dxa" w:w="4160"/>
            <w:shd w:fill="FFFFFF" w:val="clear"/>
            <w:tcMar>
              <w:top w:type="dxa" w:w="80"/>
              <w:left w:type="dxa" w:w="120"/>
              <w:bottom w:type="dxa" w:w="80"/>
              <w:right w:type="dxa" w:w="120"/>
            </w:tcMar>
          </w:tcPr>
          <w:p>
            <w:r>
              <w:rPr>
                <w:rFonts w:ascii="Arial" w:hAnsi="Arial"/>
                <w:sz w:val="20"/>
              </w:rPr>
              <w:t>Relationship between staffing levels and readmission rates. Cross-period: PBJ Q2 2024 vs VBP FY2022 -- structural association only, not causal.</w:t>
            </w:r>
          </w:p>
        </w:tc>
      </w:tr>
    </w:tbl>
    <w:p>
      <w:pPr>
        <w:spacing w:after="160"/>
      </w:pPr>
      <w:r>
        <w:rPr>
          <w:sz w:val="22"/>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026"/>
      </w:tabs>
    </w:pPr>
    <w:r>
      <w:rPr>
        <w:rFonts w:ascii="Arial" w:cs="Arial" w:eastAsia="Arial" w:hAnsi="Arial"/>
        <w:color w:val="666666"/>
        <w:sz w:val="18"/>
        <w:szCs w:val="18"/>
      </w:rPr>
      <w:t xml:space="preserve">Clipboard Health — Healthcare Metrics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2E5FA3"/>
        <w:sz w:val="18"/>
        <w:szCs w:val="18"/>
      </w:rPr>
      <w:t xml:space="preserve">Solution Design Document — Option 2: AWS-Native Glue ETL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2026-05-16T04:09:38.688Z</dcterms:created>
  <dcterms:modified xsi:type="dcterms:W3CDTF">2026-05-16T04:09:38.688Z</dcterms:modified>
</cp:coreProperties>
</file>

<file path=docProps/custom.xml><?xml version="1.0" encoding="utf-8"?>
<Properties xmlns="http://schemas.openxmlformats.org/officeDocument/2006/custom-properties" xmlns:vt="http://schemas.openxmlformats.org/officeDocument/2006/docPropsVTypes"/>
</file>