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推进系统设计说明</w:t>
      </w:r>
    </w:p>
    <w:p>
      <w:r>
        <w:rPr>
          <w:b/>
        </w:rPr>
        <w:t>文档编号：</w:t>
      </w:r>
      <w:r>
        <w:t>FMT-DOCX-001</w:t>
      </w:r>
    </w:p>
    <w:p>
      <w:r>
        <w:rPr>
          <w:b/>
        </w:rPr>
        <w:t>版本：</w:t>
      </w:r>
      <w:r>
        <w:t>1.0</w:t>
      </w:r>
    </w:p>
    <w:p>
      <w:r>
        <w:rPr>
          <w:b/>
        </w:rPr>
        <w:t>状态：</w:t>
      </w:r>
      <w:r>
        <w:t>Draft</w:t>
      </w:r>
    </w:p>
    <w:p>
      <w:pPr>
        <w:pStyle w:val="Heading2"/>
      </w:pPr>
      <w:r>
        <w:t>1 概述</w:t>
      </w:r>
    </w:p>
    <w:p>
      <w:r>
        <w:t>本文档描述 TQ-12 液氧甲烷发动机推进系统的详细设计方案，用于验证 Harnetics 对 Word (.docx) 格式文档的解析能力。系统采用双组元闭式循环方案，具备深度推力调节能力。</w:t>
      </w:r>
    </w:p>
    <w:p>
      <w:pPr>
        <w:pStyle w:val="Heading2"/>
      </w:pPr>
      <w:r>
        <w:t>2 系统架构</w:t>
      </w:r>
    </w:p>
    <w:p>
      <w:r>
        <w:t>推进系统由氧化剂供应子系统、燃料供应子系统、燃烧室组件和推力矢量控制模块组成。各子系统通过高压管路与发动机主阀相连，由发动机控制单元（ECU）统一管理。</w:t>
      </w:r>
    </w:p>
    <w:p>
      <w:pPr>
        <w:pStyle w:val="Heading2"/>
      </w:pPr>
      <w:r>
        <w:t>3 关键参数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真空推力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kN</w:t>
            </w:r>
          </w:p>
        </w:tc>
      </w:tr>
      <w:tr>
        <w:tc>
          <w:tcPr>
            <w:tcW w:type="dxa" w:w="2880"/>
          </w:tcPr>
          <w:p>
            <w:r>
              <w:t>真空比冲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s</w:t>
            </w:r>
          </w:p>
        </w:tc>
      </w:tr>
      <w:tr>
        <w:tc>
          <w:tcPr>
            <w:tcW w:type="dxa" w:w="2880"/>
          </w:tcPr>
          <w:p>
            <w:r>
              <w:t>燃烧室压力</w:t>
            </w:r>
          </w:p>
        </w:tc>
        <w:tc>
          <w:tcPr>
            <w:tcW w:type="dxa" w:w="2880"/>
          </w:tcPr>
          <w:p>
            <w:r>
              <w:t>8.5</w:t>
            </w:r>
          </w:p>
        </w:tc>
        <w:tc>
          <w:tcPr>
            <w:tcW w:type="dxa" w:w="2880"/>
          </w:tcPr>
          <w:p>
            <w:r>
              <w:t>MPa</w:t>
            </w:r>
          </w:p>
        </w:tc>
      </w:tr>
      <w:tr>
        <w:tc>
          <w:tcPr>
            <w:tcW w:type="dxa" w:w="2880"/>
          </w:tcPr>
          <w:p>
            <w:r>
              <w:t>混合比</w:t>
            </w:r>
          </w:p>
        </w:tc>
        <w:tc>
          <w:tcPr>
            <w:tcW w:type="dxa" w:w="2880"/>
          </w:tcPr>
          <w:p>
            <w:r>
              <w:t>3.5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重量</w:t>
            </w:r>
          </w:p>
        </w:tc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</w:tbl>
    <w:p>
      <w:pPr>
        <w:pStyle w:val="Heading2"/>
      </w:pPr>
      <w:r>
        <w:t>4 接口约束</w:t>
      </w:r>
    </w:p>
    <w:p>
      <w:r>
        <w:t>推进系统与飞行控制计算机通过 MIL-STD-1553B 总线通信，详见 FMT-YAML-001。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推进系统设计说明（Word 格式样本）</dc:title>
  <dc:subject/>
  <dc:creator>Harnetics Format Test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