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1eb98825b8361fd6c875b49fcce3e3f3712fc6b"/>
    <w:p>
      <w:pPr>
        <w:pStyle w:val="Heading1"/>
      </w:pPr>
      <w:r>
        <w:t xml:space="preserve">Inventory Replenishment — Success Metrics &amp; Reports</w:t>
      </w:r>
    </w:p>
    <w:p>
      <w:pPr>
        <w:pStyle w:val="FirstParagraph"/>
      </w:pPr>
      <w:r>
        <w:rPr>
          <w:bCs/>
          <w:b/>
        </w:rPr>
        <w:t xml:space="preserve">Owner:</w:t>
      </w:r>
      <w:r>
        <w:t xml:space="preserve"> </w:t>
      </w:r>
      <w:r>
        <w:t xml:space="preserve">Nia ·</w:t>
      </w:r>
      <w:r>
        <w:t xml:space="preserve"> </w:t>
      </w:r>
      <w:r>
        <w:rPr>
          <w:bCs/>
          <w:b/>
        </w:rPr>
        <w:t xml:space="preserve">Module:</w:t>
      </w:r>
      <w:r>
        <w:t xml:space="preserve"> </w:t>
      </w:r>
      <w:r>
        <w:t xml:space="preserve">Mekari SCM Service (Jurnal) ·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18 September 2026 ·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Proposal for review</w:t>
      </w:r>
    </w:p>
    <w:p>
      <w:pPr>
        <w:pStyle w:val="BlockText"/>
      </w:pPr>
      <w:r>
        <w:t xml:space="preserve">Purpose: define the reports that answer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is the replenishment feature actually working?</w:t>
      </w:r>
      <w:r>
        <w:rPr>
          <w:iCs/>
          <w:i/>
        </w:rPr>
        <w:t xml:space="preserve">”</w:t>
      </w:r>
      <w:r>
        <w:t xml:space="preserve"> </w:t>
      </w:r>
      <w:r>
        <w:t xml:space="preserve">— benchmarked against how NetSuite, Netstock and demand-planning tools measure it, and mapped to Mekari’s modules, targets and MVP/phase. It separates</w:t>
      </w:r>
      <w:r>
        <w:t xml:space="preserve"> </w:t>
      </w:r>
      <w:r>
        <w:rPr>
          <w:bCs/>
          <w:b/>
        </w:rPr>
        <w:t xml:space="preserve">feature success</w:t>
      </w:r>
      <w:r>
        <w:t xml:space="preserve"> </w:t>
      </w:r>
      <w:r>
        <w:t xml:space="preserve">(is the engine good and used?) from</w:t>
      </w:r>
      <w:r>
        <w:t xml:space="preserve"> </w:t>
      </w:r>
      <w:r>
        <w:rPr>
          <w:bCs/>
          <w:b/>
        </w:rPr>
        <w:t xml:space="preserve">business outcome</w:t>
      </w:r>
      <w:r>
        <w:t xml:space="preserve"> </w:t>
      </w:r>
      <w:r>
        <w:t xml:space="preserve">(did inventory health improve?), because conflating the two is the classic way a feature looks like it failed when the business moved for other reasons.</w:t>
      </w:r>
    </w:p>
    <w:p>
      <w:r>
        <w:pict>
          <v:rect style="width:0;height:1.5pt" o:hralign="center" o:hrstd="t" o:hr="t"/>
        </w:pict>
      </w:r>
    </w:p>
    <w:bookmarkStart w:id="20" w:name="the-one-framing-decision"/>
    <w:p>
      <w:pPr>
        <w:pStyle w:val="Heading2"/>
      </w:pPr>
      <w:r>
        <w:t xml:space="preserve">0. The one framing decision</w:t>
      </w:r>
    </w:p>
    <w:p>
      <w:pPr>
        <w:pStyle w:val="FirstParagraph"/>
      </w:pPr>
      <w:r>
        <w:t xml:space="preserve">There are two different questions, and they need different reports: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the FEATURE work and get used? (the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success rate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— is the recommendation accurate, trusted, and acted on? This is directly attributable to the feature and is the honest measure of whether</w:t>
      </w:r>
      <w:r>
        <w:t xml:space="preserve"> </w:t>
      </w:r>
      <w:r>
        <w:rPr>
          <w:iCs/>
          <w:i/>
        </w:rPr>
        <w:t xml:space="preserve">it</w:t>
      </w:r>
      <w:r>
        <w:t xml:space="preserve"> </w:t>
      </w:r>
      <w:r>
        <w:t xml:space="preserve">works.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Did inventory HEALTH improve? (the ROI)</w:t>
      </w:r>
      <w:r>
        <w:t xml:space="preserve"> </w:t>
      </w:r>
      <w:r>
        <w:t xml:space="preserve">— fewer stockouts, less dead stock, freed cash, better turns. This is the business value, but it is lagging and multi-causal (promotions, seasonality, supply shocks all move it), so it must be attributed carefully, not claimed wholesale.</w:t>
      </w:r>
    </w:p>
    <w:p>
      <w:pPr>
        <w:pStyle w:val="FirstParagraph"/>
      </w:pPr>
      <w:r>
        <w:t xml:space="preserve">Report on both, but never present Layer 2 movement as proof the feature works without the Layer 1 evidence and an attribution method (§4).</w:t>
      </w:r>
    </w:p>
    <w:p>
      <w:r>
        <w:pict>
          <v:rect style="width:0;height:1.5pt" o:hralign="center" o:hrstd="t" o:hr="t"/>
        </w:pict>
      </w:r>
    </w:p>
    <w:bookmarkEnd w:id="20"/>
    <w:bookmarkStart w:id="21" w:name="X19a4dc605adbe99aa6b9f69cd12a1f7bed3bf86"/>
    <w:p>
      <w:pPr>
        <w:pStyle w:val="Heading2"/>
      </w:pPr>
      <w:r>
        <w:t xml:space="preserve">1. Layer 1 — Feature success reports (attributable to the engine)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metrics &amp; 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/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 · Recommendation Acceptance &amp; 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Acceptance rate</w:t>
            </w:r>
            <w:r>
              <w:t xml:space="preserve"> </w:t>
            </w:r>
            <w:r>
              <w:t xml:space="preserve">= % of suggested qty kept unchanged on the resulting PR/PO;</w:t>
            </w:r>
            <w:r>
              <w:t xml:space="preserve"> </w:t>
            </w:r>
            <w:r>
              <w:rPr>
                <w:bCs/>
                <w:b/>
              </w:rPr>
              <w:t xml:space="preserve">edit magnitude</w:t>
            </w:r>
            <w:r>
              <w:t xml:space="preserve"> </w:t>
            </w:r>
            <w:r>
              <w:t xml:space="preserve">= median |final − suggested| ÷ suggested; ROP/safety/lead</w:t>
            </w:r>
            <w:r>
              <w:t xml:space="preserve"> </w:t>
            </w:r>
            <w:r>
              <w:rPr>
                <w:bCs/>
                <w:b/>
              </w:rPr>
              <w:t xml:space="preserve">override rate</w:t>
            </w:r>
            <w:r>
              <w:t xml:space="preserve">; vendor-change-at-PR rate (D12)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PR/PO (Transaction) + engine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Acceptance</w:t>
            </w:r>
            <w:r>
              <w:t xml:space="preserve"> </w:t>
            </w:r>
            <w:r>
              <w:rPr>
                <w:bCs/>
                <w:b/>
              </w:rPr>
              <w:t xml:space="preserve">&gt; 60%</w:t>
            </w:r>
            <w:r>
              <w:t xml:space="preserve">; investigate</w:t>
            </w:r>
            <w:r>
              <w:t xml:space="preserve"> </w:t>
            </w:r>
            <w:r>
              <w:rPr>
                <w:bCs/>
                <w:b/>
              </w:rPr>
              <w:t xml:space="preserve">&lt; 40%</w:t>
            </w:r>
            <w:r>
              <w:t xml:space="preserve"> </w:t>
            </w:r>
            <w:r>
              <w:t xml:space="preserve">(mistrust)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 · Demand Forecast 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MAPE</w:t>
            </w:r>
            <w:r>
              <w:t xml:space="preserve"> </w:t>
            </w:r>
            <w:r>
              <w:t xml:space="preserve">= mean(|actual − forecast| ÷ actual);</w:t>
            </w:r>
            <w:r>
              <w:t xml:space="preserve"> </w:t>
            </w:r>
            <w:r>
              <w:rPr>
                <w:bCs/>
                <w:b/>
              </w:rPr>
              <w:t xml:space="preserve">WMAPE</w:t>
            </w:r>
            <w:r>
              <w:t xml:space="preserve"> </w:t>
            </w:r>
            <w:r>
              <w:t xml:space="preserve">(revenue/volume-weighted);</w:t>
            </w:r>
            <w:r>
              <w:t xml:space="preserve"> </w:t>
            </w:r>
            <w:r>
              <w:rPr>
                <w:bCs/>
                <w:b/>
              </w:rPr>
              <w:t xml:space="preserve">Bias</w:t>
            </w:r>
            <w:r>
              <w:t xml:space="preserve"> </w:t>
            </w:r>
            <w:r>
              <w:t xml:space="preserve">= mean(forecast − actual);</w:t>
            </w:r>
            <w:r>
              <w:t xml:space="preserve"> </w:t>
            </w:r>
            <w:r>
              <w:rPr>
                <w:bCs/>
                <w:b/>
              </w:rPr>
              <w:t xml:space="preserve">MAE</w:t>
            </w:r>
            <w:r>
              <w:t xml:space="preserve"> </w:t>
            </w:r>
            <w:r>
              <w:t xml:space="preserve">(units). Segment by FSN / ABC / warehouse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sales history +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</w:t>
            </w:r>
            <w:r>
              <w:t xml:space="preserve"> </w:t>
            </w:r>
            <w:r>
              <w:rPr>
                <w:bCs/>
                <w:b/>
              </w:rPr>
              <w:t xml:space="preserve">5–20%</w:t>
            </w:r>
            <w:r>
              <w:t xml:space="preserve"> </w:t>
            </w:r>
            <w:r>
              <w:t xml:space="preserve">(accuracy 80–95%); Bias ≈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(needs cycles of history)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R3 · Lead-time Accuracy &amp;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% SKUs on Tier-1 computed</w:t>
            </w:r>
            <w:r>
              <w:t xml:space="preserve"> </w:t>
            </w:r>
            <w:r>
              <w:t xml:space="preserve">vs estimated lead time;</w:t>
            </w:r>
            <w:r>
              <w:t xml:space="preserve"> </w:t>
            </w:r>
            <w:r>
              <w:rPr>
                <w:bCs/>
                <w:b/>
              </w:rPr>
              <w:t xml:space="preserve">lead-time error</w:t>
            </w:r>
            <w:r>
              <w:t xml:space="preserve"> </w:t>
            </w:r>
            <w:r>
              <w:t xml:space="preserve">= actual (GR − PO) vs predicted;</w:t>
            </w:r>
            <w:r>
              <w:t xml:space="preserve"> </w:t>
            </w:r>
            <w:r>
              <w:rPr>
                <w:bCs/>
                <w:b/>
              </w:rPr>
              <w:t xml:space="preserve">vendor OTIF / on-time %</w:t>
            </w:r>
            <w:r>
              <w:t xml:space="preserve">; lead-time variability per vendor×product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QB PO date ↔ SCM 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coverage</w:t>
            </w:r>
            <w:r>
              <w:t xml:space="preserve"> </w:t>
            </w:r>
            <w:r>
              <w:rPr>
                <w:bCs/>
                <w:b/>
              </w:rPr>
              <w:t xml:space="preserve">&gt; 70%</w:t>
            </w:r>
            <w:r>
              <w:t xml:space="preserve"> </w:t>
            </w:r>
            <w:r>
              <w:t xml:space="preserve">within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(coverage) / Phase 1 (error, OTIF)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R4 · Worklist Adoption &amp;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Worklist</w:t>
            </w:r>
            <w:r>
              <w:t xml:space="preserve"> </w:t>
            </w:r>
            <w:r>
              <w:rPr>
                <w:bCs/>
                <w:b/>
              </w:rPr>
              <w:t xml:space="preserve">DAU/WAU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% due items actioned</w:t>
            </w:r>
            <w:r>
              <w:t xml:space="preserve"> </w:t>
            </w:r>
            <w:r>
              <w:t xml:space="preserve">within N days; aged/ignored count;</w:t>
            </w:r>
            <w:r>
              <w:t xml:space="preserve"> </w:t>
            </w:r>
            <w:r>
              <w:rPr>
                <w:bCs/>
                <w:b/>
              </w:rPr>
              <w:t xml:space="preserve">PR→PO conversion rate</w:t>
            </w:r>
            <w:r>
              <w:t xml:space="preserve"> </w:t>
            </w:r>
            <w:r>
              <w:t xml:space="preserve">(how many requests purchasing acts on); time-from-due-to-PR; suppressed duplicate recs (US-006); muted-item stockout saves (US-014)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events +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rate high; PR→PO healthy (low = requests ignored)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R5 · Data Readiness / Needs-setup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&amp;</w:t>
            </w:r>
            <w:r>
              <w:t xml:space="preserve"> </w:t>
            </w:r>
            <w:r>
              <w:rPr>
                <w:bCs/>
                <w:b/>
              </w:rPr>
              <w:t xml:space="preserve">% of SKUs in Needs setup</w:t>
            </w:r>
            <w:r>
              <w:t xml:space="preserve">; cold-start / provisional SKU count &amp;</w:t>
            </w:r>
            <w:r>
              <w:t xml:space="preserve"> </w:t>
            </w:r>
            <w:r>
              <w:rPr>
                <w:bCs/>
                <w:b/>
              </w:rPr>
              <w:t xml:space="preserve">graduation rate</w:t>
            </w:r>
            <w:r>
              <w:t xml:space="preserve">; missing-lead-time / missing-vendor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/ Product / SCM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Needs-setup</w:t>
            </w:r>
            <w:r>
              <w:t xml:space="preserve"> </w:t>
            </w:r>
            <w:r>
              <w:rPr>
                <w:bCs/>
                <w:b/>
              </w:rPr>
              <w:t xml:space="preserve">trending → 0</w:t>
            </w:r>
            <w:r>
              <w:t xml:space="preserve">; alert</w:t>
            </w:r>
            <w:r>
              <w:t xml:space="preserve"> </w:t>
            </w:r>
            <w:r>
              <w:rPr>
                <w:bCs/>
                <w:b/>
              </w:rPr>
              <w:t xml:space="preserve">&gt; 20%</w:t>
            </w:r>
            <w:r>
              <w:t xml:space="preserve"> </w:t>
            </w:r>
            <w:r>
              <w:t xml:space="preserve">of active SKUs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MVP</w:t>
            </w:r>
          </w:p>
        </w:tc>
      </w:tr>
    </w:tbl>
    <w:p>
      <w:pPr>
        <w:pStyle w:val="BodyText"/>
      </w:pPr>
      <w:r>
        <w:t xml:space="preserve">R1, R4, R5 are the true</w:t>
      </w:r>
      <w:r>
        <w:t xml:space="preserve"> </w:t>
      </w:r>
      <w:r>
        <w:t xml:space="preserve">“</w:t>
      </w:r>
      <w:r>
        <w:t xml:space="preserve">success rate</w:t>
      </w:r>
      <w:r>
        <w:t xml:space="preserve">”</w:t>
      </w:r>
      <w:r>
        <w:t xml:space="preserve"> </w:t>
      </w:r>
      <w:r>
        <w:t xml:space="preserve">of the function and are shippable in MVP because they only need the feature’s own events. R2/R3 accuracy need a few recompute cycles before the numbers mean anything.</w:t>
      </w:r>
    </w:p>
    <w:p>
      <w:r>
        <w:pict>
          <v:rect style="width:0;height:1.5pt" o:hralign="center" o:hrstd="t" o:hr="t"/>
        </w:pict>
      </w:r>
    </w:p>
    <w:bookmarkEnd w:id="21"/>
    <w:bookmarkStart w:id="22" w:name="layer-2-business-outcome-reports-the-roi"/>
    <w:p>
      <w:pPr>
        <w:pStyle w:val="Heading2"/>
      </w:pPr>
      <w:r>
        <w:t xml:space="preserve">2. Layer 2 — Business outcome reports (the ROI)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metrics &amp; 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/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/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R6 · Stockout &amp;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Stockout rate</w:t>
            </w:r>
            <w:r>
              <w:t xml:space="preserve"> </w:t>
            </w:r>
            <w:r>
              <w:t xml:space="preserve">= SKUs out of stock ÷ total SKUs;</w:t>
            </w:r>
            <w:r>
              <w:t xml:space="preserve"> </w:t>
            </w:r>
            <w:r>
              <w:rPr>
                <w:bCs/>
                <w:b/>
              </w:rPr>
              <w:t xml:space="preserve">fill rate / service level</w:t>
            </w:r>
            <w:r>
              <w:t xml:space="preserve"> </w:t>
            </w:r>
            <w:r>
              <w:t xml:space="preserve">= orders fulfilled complete ÷ total; days-out;</w:t>
            </w:r>
            <w:r>
              <w:t xml:space="preserve"> </w:t>
            </w:r>
            <w:r>
              <w:rPr>
                <w:bCs/>
                <w:b/>
              </w:rPr>
              <w:t xml:space="preserve">lost-sales value</w:t>
            </w:r>
            <w:r>
              <w:t xml:space="preserve"> </w:t>
            </w:r>
            <w:r>
              <w:t xml:space="preserve">= lost units ×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WMS on-hand + Transaction SO (+ Accounting for lost margin)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</w:t>
            </w:r>
            <w:r>
              <w:t xml:space="preserve"> </w:t>
            </w:r>
            <w:r>
              <w:rPr>
                <w:bCs/>
                <w:b/>
              </w:rPr>
              <w:t xml:space="preserve">95–98%</w:t>
            </w:r>
            <w:r>
              <w:t xml:space="preserve">; stockout</w:t>
            </w:r>
            <w:r>
              <w:t xml:space="preserve"> </w:t>
            </w:r>
            <w:r>
              <w:rPr>
                <w:bCs/>
                <w:b/>
              </w:rPr>
              <w:t xml:space="preserve">&lt; 2–5%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(stockout/fill) / Phase 1 (lost sales)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R7 · Overstock &amp; Dead-stock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Excess</w:t>
            </w:r>
            <w:r>
              <w:t xml:space="preserve"> </w:t>
            </w:r>
            <w:r>
              <w:t xml:space="preserve">units/value above max/coverage;</w:t>
            </w:r>
            <w:r>
              <w:t xml:space="preserve"> </w:t>
            </w:r>
            <w:r>
              <w:rPr>
                <w:bCs/>
                <w:b/>
              </w:rPr>
              <w:t xml:space="preserve">dead / non-moving (FSN=N) value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% dead</w:t>
            </w:r>
            <w:r>
              <w:t xml:space="preserve"> </w:t>
            </w:r>
            <w:r>
              <w:t xml:space="preserve">= unsellable ÷ available; carrying cost of excess. Feeds PSAK 14 obsolescence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WMS + Product costing + FSN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 stock</w:t>
            </w:r>
            <w:r>
              <w:t xml:space="preserve"> </w:t>
            </w:r>
            <w:r>
              <w:rPr>
                <w:bCs/>
                <w:b/>
              </w:rPr>
              <w:t xml:space="preserve">&lt; 25%</w:t>
            </w:r>
            <w:r>
              <w:t xml:space="preserve">; excess trending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(FSN-based) / Phase 2 (provision)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R8 · Inventory Efficiency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Turnover</w:t>
            </w:r>
            <w:r>
              <w:t xml:space="preserve"> </w:t>
            </w:r>
            <w:r>
              <w:t xml:space="preserve">= COGS ÷ avg inventory;</w:t>
            </w:r>
            <w:r>
              <w:t xml:space="preserve"> </w:t>
            </w:r>
            <w:r>
              <w:rPr>
                <w:bCs/>
                <w:b/>
              </w:rPr>
              <w:t xml:space="preserve">DIO / days of cover</w:t>
            </w:r>
            <w:r>
              <w:t xml:space="preserve"> </w:t>
            </w:r>
            <w:r>
              <w:t xml:space="preserve">= avg inventory ÷ daily COGS;</w:t>
            </w:r>
            <w:r>
              <w:t xml:space="preserve"> </w:t>
            </w:r>
            <w:r>
              <w:rPr>
                <w:bCs/>
                <w:b/>
              </w:rPr>
              <w:t xml:space="preserve">sell-through</w:t>
            </w:r>
            <w:r>
              <w:t xml:space="preserve"> </w:t>
            </w:r>
            <w:r>
              <w:t xml:space="preserve">= sold ÷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 COGS + WMS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Turns</w:t>
            </w:r>
            <w:r>
              <w:t xml:space="preserve"> </w:t>
            </w:r>
            <w:r>
              <w:rPr>
                <w:bCs/>
                <w:b/>
              </w:rPr>
              <w:t xml:space="preserve">4–6×</w:t>
            </w:r>
            <w:r>
              <w:t xml:space="preserve"> </w:t>
            </w:r>
            <w:r>
              <w:t xml:space="preserve">(industry-dep.); DIO</w:t>
            </w:r>
            <w:r>
              <w:t xml:space="preserve"> </w:t>
            </w:r>
            <w:r>
              <w:rPr>
                <w:bCs/>
                <w:b/>
              </w:rPr>
              <w:t xml:space="preserve">30–90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R9 · Working Capital / 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value trend;</w:t>
            </w:r>
            <w:r>
              <w:t xml:space="preserve"> </w:t>
            </w:r>
            <w:r>
              <w:rPr>
                <w:bCs/>
                <w:b/>
              </w:rPr>
              <w:t xml:space="preserve">cash tied up</w:t>
            </w:r>
            <w:r>
              <w:t xml:space="preserve">; cash freed vs baseline; carrying-cost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freed positive; carrying cost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</w:tr>
    </w:tbl>
    <w:p>
      <w:pPr>
        <w:pStyle w:val="BodyText"/>
      </w:pPr>
      <w:r>
        <w:t xml:space="preserve">These are lagging and shared with the rest of the business — treat them as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environment the feature is trying to improve,</w:t>
      </w:r>
      <w:r>
        <w:rPr>
          <w:iCs/>
          <w:i/>
        </w:rPr>
        <w:t xml:space="preserve">”</w:t>
      </w:r>
      <w:r>
        <w:t xml:space="preserve"> </w:t>
      </w:r>
      <w:r>
        <w:t xml:space="preserve">attributed via §4, not as a raw scorecard for the feature.</w:t>
      </w:r>
    </w:p>
    <w:p>
      <w:r>
        <w:pict>
          <v:rect style="width:0;height:1.5pt" o:hralign="center" o:hrstd="t" o:hr="t"/>
        </w:pict>
      </w:r>
    </w:p>
    <w:bookmarkEnd w:id="22"/>
    <w:bookmarkStart w:id="23" w:name="X21c4a81b10bf8f02f808aa86e485729ed3814b6"/>
    <w:p>
      <w:pPr>
        <w:pStyle w:val="Heading2"/>
      </w:pPr>
      <w:r>
        <w:t xml:space="preserve">3. Layer 3 — The exec</w:t>
      </w:r>
      <w:r>
        <w:t xml:space="preserve"> </w:t>
      </w:r>
      <w:r>
        <w:t xml:space="preserve">“</w:t>
      </w:r>
      <w:r>
        <w:t xml:space="preserve">Replenishment Health</w:t>
      </w:r>
      <w:r>
        <w:t xml:space="preserve">”</w:t>
      </w:r>
      <w:r>
        <w:t xml:space="preserve"> </w:t>
      </w:r>
      <w:r>
        <w:t xml:space="preserve">view</w:t>
      </w:r>
    </w:p>
    <w:p>
      <w:pPr>
        <w:pStyle w:val="FirstParagraph"/>
      </w:pPr>
      <w:r>
        <w:t xml:space="preserve">A single dashboard, the way Netstock frames it — the</w:t>
      </w:r>
      <w:r>
        <w:t xml:space="preserve"> </w:t>
      </w:r>
      <w:r>
        <w:rPr>
          <w:bCs/>
          <w:b/>
        </w:rPr>
        <w:t xml:space="preserve">stockout ↔ excess balance</w:t>
      </w:r>
      <w:r>
        <w:t xml:space="preserve"> </w:t>
      </w:r>
      <w:r>
        <w:t xml:space="preserve">— plus the feature’s adoption and accuracy, segmented so it’s actionable: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Balance gauge:</w:t>
      </w:r>
      <w:r>
        <w:t xml:space="preserve"> </w:t>
      </w:r>
      <w:r>
        <w:t xml:space="preserve">stockout risk (R6) on one side, excess/dead stock (R7) on the other — the feature’s job is to shrink both at once.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Trust tiles:</w:t>
      </w:r>
      <w:r>
        <w:t xml:space="preserve"> </w:t>
      </w:r>
      <w:r>
        <w:t xml:space="preserve">acceptance rate (R1), forecast accuracy (R2), computed-coverage (R3).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Segmentation (Netstock ABC practice):</w:t>
      </w:r>
      <w:r>
        <w:t xml:space="preserve"> </w:t>
      </w:r>
      <w:r>
        <w:t xml:space="preserve">by</w:t>
      </w:r>
      <w:r>
        <w:t xml:space="preserve"> </w:t>
      </w:r>
      <w:r>
        <w:rPr>
          <w:bCs/>
          <w:b/>
        </w:rPr>
        <w:t xml:space="preserve">ABC value × FSN velocity</w:t>
      </w:r>
      <w:r>
        <w:t xml:space="preserve">, and by</w:t>
      </w:r>
      <w:r>
        <w:t xml:space="preserve"> </w:t>
      </w:r>
      <w:r>
        <w:rPr>
          <w:bCs/>
          <w:b/>
        </w:rPr>
        <w:t xml:space="preserve">warehouse</w:t>
      </w:r>
      <w:r>
        <w:t xml:space="preserve"> </w:t>
      </w:r>
      <w:r>
        <w:t xml:space="preserve">— so a good aggregate can’t hide a failing A-item class or a bad location.</w:t>
      </w:r>
    </w:p>
    <w:p>
      <w:pPr>
        <w:numPr>
          <w:ilvl w:val="0"/>
          <w:numId w:val="1002"/>
        </w:numPr>
        <w:pStyle w:val="Compact"/>
      </w:pPr>
      <w:r>
        <w:t xml:space="preserve">Natural home for the</w:t>
      </w:r>
      <w:r>
        <w:t xml:space="preserve"> </w:t>
      </w:r>
      <w:r>
        <w:rPr>
          <w:bCs/>
          <w:b/>
        </w:rPr>
        <w:t xml:space="preserve">AI module</w:t>
      </w:r>
      <w:r>
        <w:t xml:space="preserve">:</w:t>
      </w:r>
      <w:r>
        <w:t xml:space="preserve"> </w:t>
      </w:r>
      <w:r>
        <w:t xml:space="preserve">“</w:t>
      </w:r>
      <w:r>
        <w:t xml:space="preserve">which SKUs are we still stocking out on?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where is cash tied up?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is the recommendation being trusted?</w:t>
      </w:r>
      <w:r>
        <w:t xml:space="preserve">”</w:t>
      </w:r>
      <w:r>
        <w:t xml:space="preserve"> </w:t>
      </w:r>
      <w:r>
        <w:t xml:space="preserve">answered from these tables.</w:t>
      </w:r>
    </w:p>
    <w:p>
      <w:r>
        <w:pict>
          <v:rect style="width:0;height:1.5pt" o:hralign="center" o:hrstd="t" o:hr="t"/>
        </w:pict>
      </w:r>
    </w:p>
    <w:bookmarkEnd w:id="23"/>
    <w:bookmarkStart w:id="24" w:name="X51c2caaa9337db3a6dd963201307dc97ce0c41d"/>
    <w:p>
      <w:pPr>
        <w:pStyle w:val="Heading2"/>
      </w:pPr>
      <w:r>
        <w:t xml:space="preserve">4. Attribution — proving it was the feature, not luck</w:t>
      </w:r>
    </w:p>
    <w:p>
      <w:pPr>
        <w:pStyle w:val="FirstParagraph"/>
      </w:pPr>
      <w:r>
        <w:t xml:space="preserve">Two low-cost methods so Layer 2 movement is credible: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Baseline (before/after):</w:t>
      </w:r>
      <w:r>
        <w:t xml:space="preserve"> </w:t>
      </w:r>
      <w:r>
        <w:t xml:space="preserve">snapshot R6–R9 for the 60–90 days before rollout, compare after. Simple, but confounded by seasonality.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Managed vs unmanaged cohort (preferred):</w:t>
      </w:r>
      <w:r>
        <w:t xml:space="preserve"> </w:t>
      </w:r>
      <w:r>
        <w:t xml:space="preserve">compare SKUs under replenishment management against a matched set that isn’t yet — the difference is the feature’s effect, controlling for market conditions. Cheap because the feature already tracks which SKUs are managed.</w:t>
      </w:r>
    </w:p>
    <w:p>
      <w:pPr>
        <w:pStyle w:val="FirstParagraph"/>
      </w:pPr>
      <w:r>
        <w:t xml:space="preserve">Also surface</w:t>
      </w:r>
      <w:r>
        <w:t xml:space="preserve"> </w:t>
      </w:r>
      <w:r>
        <w:rPr>
          <w:bCs/>
          <w:b/>
        </w:rPr>
        <w:t xml:space="preserve">counterfactual saves</w:t>
      </w:r>
      <w:r>
        <w:t xml:space="preserve"> </w:t>
      </w:r>
      <w:r>
        <w:t xml:space="preserve">the feature can claim directly: duplicate POs suppressed (US-006), muted-item stockouts caught (US-014), and Needs-setup items rescued before they went dark — these are honest, feature-attributable wins.</w:t>
      </w:r>
    </w:p>
    <w:p>
      <w:r>
        <w:pict>
          <v:rect style="width:0;height:1.5pt" o:hralign="center" o:hrstd="t" o:hr="t"/>
        </w:pict>
      </w:r>
    </w:p>
    <w:bookmarkEnd w:id="24"/>
    <w:bookmarkStart w:id="25" w:name="competitor-benchmark"/>
    <w:p>
      <w:pPr>
        <w:pStyle w:val="Heading2"/>
      </w:pPr>
      <w:r>
        <w:t xml:space="preserve">5. Competitor benchmark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Takeaway for 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Netstock</w:t>
            </w:r>
            <w:r>
              <w:t xml:space="preserve"> </w:t>
            </w:r>
            <w:r>
              <w:t xml:space="preserve">(replenishment tool)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Top-5: turnover, fill rate, forecast accuracy, DIO, stockout rate; ABC segmentation; explicit</w:t>
            </w:r>
            <w:r>
              <w:t xml:space="preserve"> </w:t>
            </w:r>
            <w:r>
              <w:rPr>
                <w:bCs/>
                <w:b/>
              </w:rPr>
              <w:t xml:space="preserve">stockout-vs-excess</w:t>
            </w:r>
            <w:r>
              <w:t xml:space="preserve"> </w:t>
            </w:r>
            <w:r>
              <w:t xml:space="preserve">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the balance framing + ABC/FSN segmentation (Layer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~33 KPIs incl. turnover, DSI, fill rate, stockout, backorder, sell-through, carrying cost, dead stock, service level, lead time, inventory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R6–R8 match the credible core; don’t over-build the long 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Prediko / demand-planning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Forecast-accuracy family: MAPE, WMAPE, Bias, MAE, FVA; lead-time variability; lost-sales; planned-vs-actual reorder 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 for R2/R3; WMAPE + Bias are the ones worth having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Accurate / BigSeller / Jubelio</w:t>
            </w:r>
            <w:r>
              <w:t xml:space="preserve"> </w:t>
            </w:r>
            <w:r>
              <w:t xml:space="preserve">(SEA rivals)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Little to no replenishment-effectiveness reporting — mostly raw stock reports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White space:</w:t>
            </w:r>
            <w:r>
              <w:t xml:space="preserve"> </w:t>
            </w:r>
            <w:r>
              <w:t xml:space="preserve">a replenishment health + accuracy dashboard, especially AI-queryable, is a differentiator, not catch-up</w:t>
            </w:r>
          </w:p>
        </w:tc>
      </w:tr>
    </w:tbl>
    <w:p>
      <w:pPr>
        <w:pStyle w:val="BodyText"/>
      </w:pPr>
      <w:r>
        <w:t xml:space="preserve">The effectiveness</w:t>
      </w:r>
      <w:r>
        <w:t xml:space="preserve"> </w:t>
      </w:r>
      <w:r>
        <w:rPr>
          <w:iCs/>
          <w:i/>
        </w:rPr>
        <w:t xml:space="preserve">dashboard itself</w:t>
      </w:r>
      <w:r>
        <w:t xml:space="preserve"> </w:t>
      </w:r>
      <w:r>
        <w:t xml:space="preserve">is largely absent from your direct SEA competitors — consistent with the benchmark’s finding that the recommendation engine is white space. Pair it with the accounting-native and AI layers and it’s hard for them to copy.</w:t>
      </w:r>
    </w:p>
    <w:p>
      <w:r>
        <w:pict>
          <v:rect style="width:0;height:1.5pt" o:hralign="center" o:hrstd="t" o:hr="t"/>
        </w:pict>
      </w:r>
    </w:p>
    <w:bookmarkEnd w:id="25"/>
    <w:bookmarkStart w:id="26" w:name="recommended-mvp-starter-set"/>
    <w:p>
      <w:pPr>
        <w:pStyle w:val="Heading2"/>
      </w:pPr>
      <w:r>
        <w:t xml:space="preserve">6. Recommended MVP starter set</w:t>
      </w:r>
    </w:p>
    <w:p>
      <w:pPr>
        <w:pStyle w:val="FirstParagraph"/>
      </w:pPr>
      <w:r>
        <w:t xml:space="preserve">Ship the reports that are (a) attributable to the feature and (b) computable from day one: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R1 Recommendation Acceptance</w:t>
      </w:r>
      <w:r>
        <w:t xml:space="preserve">,</w:t>
      </w:r>
      <w:r>
        <w:t xml:space="preserve"> </w:t>
      </w:r>
      <w:r>
        <w:rPr>
          <w:bCs/>
          <w:b/>
        </w:rPr>
        <w:t xml:space="preserve">R4 Worklist Adoption + PR→PO</w:t>
      </w:r>
      <w:r>
        <w:t xml:space="preserve">,</w:t>
      </w:r>
      <w:r>
        <w:t xml:space="preserve"> </w:t>
      </w:r>
      <w:r>
        <w:rPr>
          <w:bCs/>
          <w:b/>
        </w:rPr>
        <w:t xml:space="preserve">R5 Needs-setup readiness</w:t>
      </w:r>
      <w:r>
        <w:t xml:space="preserve"> </w:t>
      </w:r>
      <w:r>
        <w:t xml:space="preserve">— the honest</w:t>
      </w:r>
      <w:r>
        <w:t xml:space="preserve"> </w:t>
      </w:r>
      <w:r>
        <w:t xml:space="preserve">“</w:t>
      </w:r>
      <w:r>
        <w:t xml:space="preserve">success rate.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R6 Stockout &amp; Fill (basic)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R7 Dead-stock via FSN</w:t>
      </w:r>
      <w:r>
        <w:t xml:space="preserve"> </w:t>
      </w:r>
      <w:r>
        <w:t xml:space="preserve">— the two outcome numbers customers feel immediately.</w:t>
      </w:r>
    </w:p>
    <w:p>
      <w:pPr>
        <w:numPr>
          <w:ilvl w:val="0"/>
          <w:numId w:val="1004"/>
        </w:numPr>
        <w:pStyle w:val="Compact"/>
      </w:pPr>
      <w:r>
        <w:t xml:space="preserve">Defer</w:t>
      </w:r>
      <w:r>
        <w:t xml:space="preserve"> </w:t>
      </w:r>
      <w:r>
        <w:rPr>
          <w:bCs/>
          <w:b/>
        </w:rPr>
        <w:t xml:space="preserve">R2/R3 accuracy</w:t>
      </w:r>
      <w:r>
        <w:t xml:space="preserve"> </w:t>
      </w:r>
      <w:r>
        <w:t xml:space="preserve">(need history),</w:t>
      </w:r>
      <w:r>
        <w:t xml:space="preserve"> </w:t>
      </w:r>
      <w:r>
        <w:rPr>
          <w:bCs/>
          <w:b/>
        </w:rPr>
        <w:t xml:space="preserve">R8/R9 cash</w:t>
      </w:r>
      <w:r>
        <w:t xml:space="preserve"> </w:t>
      </w:r>
      <w:r>
        <w:t xml:space="preserve">(need costing/COGS wiring) to Phase 1.</w:t>
      </w:r>
    </w:p>
    <w:p>
      <w:pPr>
        <w:numPr>
          <w:ilvl w:val="0"/>
          <w:numId w:val="1004"/>
        </w:numPr>
        <w:pStyle w:val="Compact"/>
      </w:pPr>
      <w:r>
        <w:t xml:space="preserve">Stand up the</w:t>
      </w:r>
      <w:r>
        <w:t xml:space="preserve"> </w:t>
      </w:r>
      <w:r>
        <w:rPr>
          <w:bCs/>
          <w:b/>
        </w:rPr>
        <w:t xml:space="preserve">Layer 3 exec view</w:t>
      </w:r>
      <w:r>
        <w:t xml:space="preserve"> </w:t>
      </w:r>
      <w:r>
        <w:t xml:space="preserve">with whatever of the above exists, segmented by warehouse + FSN.</w:t>
      </w:r>
    </w:p>
    <w:p>
      <w:pPr>
        <w:pStyle w:val="FirstParagraph"/>
      </w:pPr>
      <w:r>
        <w:t xml:space="preserve">This mirrors the OBS metrics already embedded in the user stories (US-001 computed-coverage, US-006 suppressed duplicates, US-008 acceptance rate, US-003 Needs-setup count, US-016 worklist usage) — so the MVP reports are mostly</w:t>
      </w:r>
      <w:r>
        <w:t xml:space="preserve"> </w:t>
      </w:r>
      <w:r>
        <w:rPr>
          <w:iCs/>
          <w:i/>
        </w:rPr>
        <w:t xml:space="preserve">surfacing telemetry the build already emits</w:t>
      </w:r>
      <w:r>
        <w:t xml:space="preserve">, not new instrumentation.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2026-09-18T03:21:37Z</dcterms:created>
  <dcterms:modified xsi:type="dcterms:W3CDTF">2026-09-18T03:21:37Z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