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Employment Agreement - Sarah Chen</w:t>
      </w:r>
    </w:p>
    <w:p>
      <w:r>
        <w:t>This Employment Agreement is made on 19 June 2019 between Northwind Analytics Inc. and Sarah Chen, residing at 44 Lakeshore Drive, Portland, Oregon.</w:t>
      </w:r>
    </w:p>
    <w:p>
      <w:r>
        <w:t>Position. The Executive shall serve as Chief Executive Officer.</w:t>
      </w:r>
    </w:p>
    <w:p>
      <w:r>
        <w:t>Compensation. The Executive shall receive an annual base salary of USD 240,000, subject to annual review by the Board.</w:t>
      </w:r>
    </w:p>
    <w:p>
      <w:r>
        <w:t>Equity. The Executive holds 1,800,000 shares of common stock subject to a four year vesting schedule commencing on the date of this Agreement.</w:t>
      </w:r>
    </w:p>
    <w:p>
      <w:r>
        <w:t>Termination. Either party may terminate this Agreement on ninety (90) days written notice.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