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Option Grant Schedule - as at 31 December 2025</w:t>
      </w:r>
    </w:p>
    <w:p>
      <w:r>
        <w:t>This schedule records all option grants made to employees and outstanding at the date shown.</w:t>
      </w:r>
    </w:p>
    <w:p>
      <w:r>
        <w:t>Priya Raghunathan, Chief Financial Officer: 120,000 options granted 16 September 2024.</w:t>
      </w:r>
    </w:p>
    <w:p>
      <w:r>
        <w:t>Marcus Ferrell, VP Engineering: 95,000 options granted 3 May 2023.</w:t>
      </w:r>
    </w:p>
    <w:p>
      <w:r>
        <w:t>Anneke Vos, VP Sales: 80,000 options granted 12 October 2023.</w:t>
      </w:r>
    </w:p>
    <w:p>
      <w:r>
        <w:t>Tomas Berg, Head of Product: 75,000 options granted 1 February 2024.</w:t>
      </w:r>
    </w:p>
    <w:p>
      <w:r>
        <w:t>Leila Haddad, Head of Customer Success: 45,000 options granted 20 June 2024.</w:t>
      </w:r>
    </w:p>
    <w:p>
      <w:r>
        <w:t>Eleven other employees hold grants totalling 30,000 options in aggregate.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