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Severance Policy - Northwind Analytics Inc.</w:t>
      </w:r>
    </w:p>
    <w:p>
      <w:r>
        <w:t>This policy was adopted by the Board on 4 September 2024 and applies to executive officers of the company.</w:t>
      </w:r>
    </w:p>
    <w:p>
      <w:r>
        <w:t>On termination without cause, an executive officer is entitled to twelve (12) months of base salary paid as severance.</w:t>
      </w:r>
    </w:p>
    <w:p>
      <w:r>
        <w:t>On a change of control of the company followed by termination without cause within twelve months, an executive officer is entitled to eighteen (18) months of base salary and full acceleration of unvested equity.</w:t>
      </w:r>
    </w:p>
    <w:p>
      <w:r>
        <w:t>This policy may be amended by the Board at any time, save that no amendment shall reduce an entitlement that has already accrued.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