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4"/>
        </w:rPr>
        <w:t>Lease Agentic Planning (LAP)</w:t>
      </w:r>
    </w:p>
    <w:p>
      <w:pPr>
        <w:jc w:val="center"/>
      </w:pPr>
      <w:r>
        <w:rPr>
          <w:color w:val="475569"/>
          <w:sz w:val="28"/>
        </w:rPr>
        <w:t>Standard Operating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02 May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703"/>
          </w:tcPr>
          <w:p>
            <w:r>
              <w:t>Lease Agentic Planning (LAP)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703"/>
          </w:tcPr>
          <w:p>
            <w:r>
              <w:t>Internal Use 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1. Purpose</w:t>
      </w:r>
    </w:p>
    <w:p>
      <w:pPr/>
      <w:r>
        <w:t>This Standard Operating Procedure (SOP) describes how authorised users operate the Lease Agentic Planning (LAP) platform. LAP is an AI-powered web application that supports two core workflows for data centre lease planning projects: (1) automated IMS schedule generation from P6 PDF exports, and (2) AI-driven schedule and construction risk identification and scoring.</w:t>
      </w:r>
    </w:p>
    <w:p>
      <w:pPr>
        <w:pStyle w:val="Heading1"/>
      </w:pPr>
      <w:r>
        <w:rPr>
          <w:color w:val="1A3C6E"/>
        </w:rPr>
        <w:t>2. Scope</w:t>
      </w:r>
    </w:p>
    <w:p>
      <w:pPr/>
      <w:r>
        <w:t>This SOP applies to all project team members who use LAP for:</w:t>
      </w:r>
    </w:p>
    <w:p>
      <w:pPr>
        <w:pStyle w:val="ListBullet"/>
      </w:pPr>
      <w:r>
        <w:t>Generating IMS baseline schedules from P6 schedule PDFs</w:t>
      </w:r>
    </w:p>
    <w:p>
      <w:pPr>
        <w:pStyle w:val="ListBullet"/>
      </w:pPr>
      <w:r>
        <w:t>Parsing schedule assessment Excel workbooks to identify risk candidates</w:t>
      </w:r>
    </w:p>
    <w:p>
      <w:pPr>
        <w:pStyle w:val="ListBullet"/>
      </w:pPr>
      <w:r>
        <w:t>Importing construction risk registers for AI-assisted risk scoring</w:t>
      </w:r>
    </w:p>
    <w:p>
      <w:pPr>
        <w:pStyle w:val="ListBullet"/>
      </w:pPr>
      <w:r>
        <w:t>Reviewing, editing, and exporting Acumen Fuse-compatible risk registers</w:t>
      </w:r>
    </w:p>
    <w:p>
      <w:pPr>
        <w:pStyle w:val="Heading1"/>
      </w:pPr>
      <w:r>
        <w:rPr>
          <w:color w:val="1A3C6E"/>
        </w:rPr>
        <w:t>3. Prerequisites</w:t>
      </w:r>
    </w:p>
    <w:p>
      <w:pPr/>
      <w:r>
        <w:t>Before using LAP, ensure the following are in place:</w:t>
      </w:r>
    </w:p>
    <w:p>
      <w:pPr>
        <w:pStyle w:val="Heading2"/>
      </w:pPr>
      <w:r>
        <w:t>3.1 Access</w:t>
      </w:r>
    </w:p>
    <w:p>
      <w:pPr>
        <w:pStyle w:val="ListBullet"/>
      </w:pPr>
      <w:r>
        <w:t>An authorised email address registered with the platform administrator.</w:t>
      </w:r>
    </w:p>
    <w:p>
      <w:pPr>
        <w:pStyle w:val="ListBullet"/>
      </w:pPr>
      <w:r>
        <w:t>Access to the LAP web URL (provided by the administrator).</w:t>
      </w:r>
    </w:p>
    <w:p>
      <w:pPr>
        <w:pStyle w:val="ListBullet"/>
      </w:pPr>
      <w:r>
        <w:t>A modern browser (Google Chrome recommended).</w:t>
      </w:r>
    </w:p>
    <w:p>
      <w:pPr>
        <w:pStyle w:val="Heading2"/>
      </w:pPr>
      <w:r>
        <w:t>3.2 Input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Input File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Format</w:t>
            </w:r>
          </w:p>
        </w:tc>
      </w:tr>
      <w:tr>
        <w:tc>
          <w:tcPr>
            <w:tcW w:type="dxa" w:w="3135"/>
          </w:tcPr>
          <w:p>
            <w:r>
              <w:t>IMS Generator</w:t>
            </w:r>
          </w:p>
        </w:tc>
        <w:tc>
          <w:tcPr>
            <w:tcW w:type="dxa" w:w="3135"/>
          </w:tcPr>
          <w:p>
            <w:r>
              <w:t>P6 Schedule Export (up to 3 projects)</w:t>
            </w:r>
          </w:p>
        </w:tc>
        <w:tc>
          <w:tcPr>
            <w:tcW w:type="dxa" w:w="3135"/>
          </w:tcPr>
          <w:p>
            <w:r>
              <w:t>.pdf</w:t>
            </w:r>
          </w:p>
        </w:tc>
      </w:tr>
      <w:tr>
        <w:tc>
          <w:tcPr>
            <w:tcW w:type="dxa" w:w="3135"/>
          </w:tcPr>
          <w:p>
            <w:r>
              <w:t>Schedule Risk Manager</w:t>
            </w:r>
          </w:p>
        </w:tc>
        <w:tc>
          <w:tcPr>
            <w:tcW w:type="dxa" w:w="3135"/>
          </w:tcPr>
          <w:p>
            <w:r>
              <w:t>Schedule Assessment Excel</w:t>
            </w:r>
          </w:p>
        </w:tc>
        <w:tc>
          <w:tcPr>
            <w:tcW w:type="dxa" w:w="3135"/>
          </w:tcPr>
          <w:p>
            <w:r>
              <w:t>.xlsx / .xls</w:t>
            </w:r>
          </w:p>
        </w:tc>
      </w:tr>
      <w:tr>
        <w:tc>
          <w:tcPr>
            <w:tcW w:type="dxa" w:w="3135"/>
          </w:tcPr>
          <w:p>
            <w:r>
              <w:t>Schedule Risk Manager</w:t>
            </w:r>
          </w:p>
        </w:tc>
        <w:tc>
          <w:tcPr>
            <w:tcW w:type="dxa" w:w="3135"/>
          </w:tcPr>
          <w:p>
            <w:r>
              <w:t>Construction Risk Register (optional)</w:t>
            </w:r>
          </w:p>
        </w:tc>
        <w:tc>
          <w:tcPr>
            <w:tcW w:type="dxa" w:w="3135"/>
          </w:tcPr>
          <w:p>
            <w:r>
              <w:t>.xlsx / .xls</w:t>
            </w:r>
          </w:p>
        </w:tc>
      </w:tr>
    </w:tbl>
    <w:p/>
    <w:p>
      <w:pPr>
        <w:pStyle w:val="Heading1"/>
      </w:pPr>
      <w:r>
        <w:rPr>
          <w:color w:val="1A3C6E"/>
        </w:rPr>
        <w:t>4. Signing In</w:t>
      </w:r>
    </w:p>
    <w:p>
      <w:pPr>
        <w:pStyle w:val="ListNumber"/>
      </w:pPr>
      <w:r>
        <w:t>Navigate to the LAP URL in your browser.</w:t>
      </w:r>
    </w:p>
    <w:p>
      <w:pPr>
        <w:pStyle w:val="ListNumber"/>
      </w:pPr>
      <w:r>
        <w:t>Enter your authorised email address in the sign-in field.</w:t>
      </w:r>
    </w:p>
    <w:p>
      <w:pPr>
        <w:pStyle w:val="ListNumber"/>
      </w:pPr>
      <w:r>
        <w:t>Click Sign In. If your email is not recognised, contact the platform administrator.</w:t>
      </w:r>
    </w:p>
    <w:p>
      <w:pPr>
        <w:pStyle w:val="ListNumber"/>
      </w:pPr>
      <w:r>
        <w:t>Upon successful sign-in, the main application loads with the left navigation sidebar visible.</w:t>
      </w:r>
    </w:p>
    <w:p>
      <w:pPr/>
    </w:p>
    <w:p>
      <w:pPr/>
      <w:r>
        <w:t>Note: The session is stored in the browser. To end the session click Sign Out in the bottom-left of the sidebar. Refreshing the page while signed in will restore the session automatically.</w:t>
      </w:r>
    </w:p>
    <w:p>
      <w:pPr>
        <w:pStyle w:val="Heading1"/>
      </w:pPr>
      <w:r>
        <w:rPr>
          <w:color w:val="1A3C6E"/>
        </w:rPr>
        <w:t>5. IMS Generator</w:t>
      </w:r>
    </w:p>
    <w:p>
      <w:pPr/>
      <w:r>
        <w:t>The IMS Generator reads up to three P6 schedule PDF exports in parallel and produces a structured IMS Excel workbook for each project.</w:t>
      </w:r>
    </w:p>
    <w:p>
      <w:pPr>
        <w:pStyle w:val="Heading2"/>
      </w:pPr>
      <w:r>
        <w:t>5.1 Uploading Schedules</w:t>
      </w:r>
    </w:p>
    <w:p>
      <w:pPr>
        <w:pStyle w:val="ListNumber"/>
      </w:pPr>
      <w:r>
        <w:t>Click IMS Generator in the left sidebar.</w:t>
      </w:r>
    </w:p>
    <w:p>
      <w:pPr>
        <w:pStyle w:val="ListNumber"/>
      </w:pPr>
      <w:r>
        <w:t>Under Project 1, click Choose file and select the P6 schedule PDF.</w:t>
      </w:r>
    </w:p>
    <w:p>
      <w:pPr>
        <w:pStyle w:val="ListNumber"/>
      </w:pPr>
      <w:r>
        <w:t>Enter the Project Code (e.g. KUL24) and Tranche (e.g. T1).</w:t>
      </w:r>
    </w:p>
    <w:p>
      <w:pPr>
        <w:pStyle w:val="ListNumber"/>
      </w:pPr>
      <w:r>
        <w:t>Optionally enter an IMS Data Date and Page Range to restrict processing.</w:t>
      </w:r>
    </w:p>
    <w:p>
      <w:pPr>
        <w:pStyle w:val="ListNumber"/>
      </w:pPr>
      <w:r>
        <w:t>To process additional projects, click + Add Project and repeat for each slot (up to 3).</w:t>
      </w:r>
    </w:p>
    <w:p>
      <w:pPr>
        <w:pStyle w:val="ListNumber"/>
      </w:pPr>
      <w:r>
        <w:t>Click Convert All to start processing.</w:t>
      </w:r>
    </w:p>
    <w:p>
      <w:pPr>
        <w:pStyle w:val="Heading2"/>
      </w:pPr>
      <w:r>
        <w:t>5.2 Reviewing Results</w:t>
      </w:r>
    </w:p>
    <w:p>
      <w:pPr>
        <w:pStyle w:val="ListNumber"/>
      </w:pPr>
      <w:r>
        <w:t>Each project result appears as a tab once processing completes.</w:t>
      </w:r>
    </w:p>
    <w:p>
      <w:pPr>
        <w:pStyle w:val="ListNumber"/>
      </w:pPr>
      <w:r>
        <w:t>Review the activity table: edit cell values inline if corrections are needed.</w:t>
      </w:r>
    </w:p>
    <w:p>
      <w:pPr>
        <w:pStyle w:val="ListNumber"/>
      </w:pPr>
      <w:r>
        <w:t>Click Download XLSX to download the combined IMS workbook.</w:t>
      </w:r>
    </w:p>
    <w:p>
      <w:pPr>
        <w:pStyle w:val="ListNumber"/>
      </w:pPr>
      <w:r>
        <w:t>Click Save to Knowledge Base to persist the result for future reference.</w:t>
      </w:r>
    </w:p>
    <w:p>
      <w:pPr>
        <w:pStyle w:val="Heading2"/>
      </w:pPr>
      <w:r>
        <w:t>5.3 Starting a New Conversion</w:t>
      </w:r>
    </w:p>
    <w:p>
      <w:pPr>
        <w:pStyle w:val="ListNumber"/>
      </w:pPr>
      <w:r>
        <w:t>Click New Conversion to reset all fields and results.</w:t>
      </w:r>
    </w:p>
    <w:p>
      <w:pPr>
        <w:pStyle w:val="Heading1"/>
      </w:pPr>
      <w:r>
        <w:rPr>
          <w:color w:val="1A3C6E"/>
        </w:rPr>
        <w:t>6. Schedule Risk Manager</w:t>
      </w:r>
    </w:p>
    <w:p>
      <w:pPr/>
      <w:r>
        <w:t>The Schedule Risk Manager parses a schedule assessment Excel workbook using AI (Azure OpenAI / DeepSeek) to identify, categorise, and score schedule risks. Optionally, an existing construction risk register can be uploaded so that construction risks are also extracted and included in the output.</w:t>
      </w:r>
    </w:p>
    <w:p>
      <w:pPr>
        <w:pStyle w:val="Heading2"/>
      </w:pPr>
      <w:r>
        <w:t>6.1 Uploading Files</w:t>
      </w:r>
    </w:p>
    <w:p>
      <w:pPr>
        <w:pStyle w:val="ListNumber"/>
      </w:pPr>
      <w:r>
        <w:t>Click Schedule Risk Manager in the left sidebar.</w:t>
      </w:r>
    </w:p>
    <w:p>
      <w:pPr>
        <w:pStyle w:val="ListNumber"/>
      </w:pPr>
      <w:r>
        <w:t>Under Upload Assessment, click Choose file and select the schedule assessment Excel.</w:t>
      </w:r>
    </w:p>
    <w:p>
      <w:pPr>
        <w:pStyle w:val="ListNumber"/>
      </w:pPr>
      <w:r>
        <w:t>Enter the Project Code, Tranche(s) (e.g. T5-T10), and Assessment Date.</w:t>
      </w:r>
    </w:p>
    <w:p>
      <w:pPr>
        <w:pStyle w:val="ListNumber"/>
      </w:pPr>
      <w:r>
        <w:t>Optionally, under Upload Construction Risk Register, click Choose file and select the construction risk register Excel. The file will be sent automatically with the parse request.</w:t>
      </w:r>
    </w:p>
    <w:p>
      <w:pPr>
        <w:pStyle w:val="ListNumber"/>
      </w:pPr>
      <w:r>
        <w:t>Click Parse &amp; Score Risks to start AI parsing.</w:t>
      </w:r>
    </w:p>
    <w:p>
      <w:pPr>
        <w:pStyle w:val="Heading2"/>
      </w:pPr>
      <w:r>
        <w:t>6.2 Risk Scoring Rules</w:t>
      </w:r>
    </w:p>
    <w:p>
      <w:pPr/>
      <w:r>
        <w:t>LAP uses a 1–6 numeric scale (aligned with Acumen Fuse):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Negligible</w:t>
            </w:r>
          </w:p>
        </w:tc>
        <w:tc>
          <w:tcPr>
            <w:tcW w:type="dxa" w:w="3135"/>
          </w:tcPr>
          <w:p>
            <w:r>
              <w:t>Minimal likelihood or impact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Very Low</w:t>
            </w:r>
          </w:p>
        </w:tc>
        <w:tc>
          <w:tcPr>
            <w:tcW w:type="dxa" w:w="3135"/>
          </w:tcPr>
          <w:p>
            <w:r>
              <w:t>Low but measurable risk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Low</w:t>
            </w:r>
          </w:p>
        </w:tc>
        <w:tc>
          <w:tcPr>
            <w:tcW w:type="dxa" w:w="3135"/>
          </w:tcPr>
          <w:p>
            <w:r>
              <w:t>Manageable with standard controls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  <w:tc>
          <w:tcPr>
            <w:tcW w:type="dxa" w:w="3135"/>
          </w:tcPr>
          <w:p>
            <w:r>
              <w:t>Requires active monitoring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High</w:t>
            </w:r>
          </w:p>
        </w:tc>
        <w:tc>
          <w:tcPr>
            <w:tcW w:type="dxa" w:w="3135"/>
          </w:tcPr>
          <w:p>
            <w:r>
              <w:t>Significant schedule threat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Very High</w:t>
            </w:r>
          </w:p>
        </w:tc>
        <w:tc>
          <w:tcPr>
            <w:tcW w:type="dxa" w:w="3135"/>
          </w:tcPr>
          <w:p>
            <w:r>
              <w:t>Critical — escalation required</w:t>
            </w:r>
          </w:p>
        </w:tc>
      </w:tr>
    </w:tbl>
    <w:p/>
    <w:p>
      <w:pPr/>
      <w:r>
        <w:t>Schedule risks derive probability from the LPSS sheet (probability_ratio = row_score ÷ row_weight_%) and schedule impact from the criterion weight relative to the total weight. Construction risk scores are read directly from the register; missing values prompt a manual scoring step.</w:t>
      </w:r>
    </w:p>
    <w:p>
      <w:pPr>
        <w:pStyle w:val="Heading2"/>
      </w:pPr>
      <w:r>
        <w:t>6.3 Reviewing and Editing Risks</w:t>
      </w:r>
    </w:p>
    <w:p>
      <w:pPr>
        <w:pStyle w:val="ListNumber"/>
      </w:pPr>
      <w:r>
        <w:t>The Risk Candidates table lists all identified risks (S-prefix = schedule, C-prefix = construction).</w:t>
      </w:r>
    </w:p>
    <w:p>
      <w:pPr>
        <w:pStyle w:val="ListNumber"/>
      </w:pPr>
      <w:r>
        <w:t>Click the pencil icon on any row to edit risk name, category, evidence, probability, or impact inline.</w:t>
      </w:r>
    </w:p>
    <w:p>
      <w:pPr>
        <w:pStyle w:val="ListNumber"/>
      </w:pPr>
      <w:r>
        <w:t>Click the expand icon (chevron) to view full evidence text for a risk.</w:t>
      </w:r>
    </w:p>
    <w:p>
      <w:pPr>
        <w:pStyle w:val="ListNumber"/>
      </w:pPr>
      <w:r>
        <w:t>To remove a risk from the output, click the trash icon on the row.</w:t>
      </w:r>
    </w:p>
    <w:p>
      <w:pPr>
        <w:pStyle w:val="ListNumber"/>
      </w:pPr>
      <w:r>
        <w:t>To add a risk manually, click + Add Risk and complete the fields in the new row.</w:t>
      </w:r>
    </w:p>
    <w:p>
      <w:pPr>
        <w:pStyle w:val="ListNumber"/>
      </w:pPr>
      <w:r>
        <w:t>To merge two or more similar risks, tick their checkboxes then click Merge Selected. Evidence is concatenated and the highest scores are retained.</w:t>
      </w:r>
    </w:p>
    <w:p>
      <w:pPr>
        <w:pStyle w:val="Heading2"/>
      </w:pPr>
      <w:r>
        <w:t>6.4 Manual Scoring Modal</w:t>
      </w:r>
    </w:p>
    <w:p>
      <w:pPr/>
      <w:r>
        <w:t>If any construction risk is missing probability or schedule impact scores, a scoring modal appears after parsing. Assign a 1–6 value to each risk using the dropdowns (or apply a batch score to all at once), then click Save &amp; Close.</w:t>
      </w:r>
    </w:p>
    <w:p>
      <w:pPr>
        <w:pStyle w:val="Heading2"/>
      </w:pPr>
      <w:r>
        <w:t>6.5 Downloading the Risk Register</w:t>
      </w:r>
    </w:p>
    <w:p>
      <w:pPr>
        <w:pStyle w:val="ListNumber"/>
      </w:pPr>
      <w:r>
        <w:t>Once the risk list is finalised, click Download Risk Register to export an Acumen Fuse-compatible Excel file.</w:t>
      </w:r>
    </w:p>
    <w:p>
      <w:pPr>
        <w:pStyle w:val="ListNumber"/>
      </w:pPr>
      <w:r>
        <w:t>Click Save to Knowledge Base to store the risk set for future AI calibration.</w:t>
      </w:r>
    </w:p>
    <w:p>
      <w:pPr>
        <w:pStyle w:val="Heading1"/>
      </w:pPr>
      <w:r>
        <w:rPr>
          <w:color w:val="1A3C6E"/>
        </w:rPr>
        <w:t>7. AI Models and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Model</w:t>
            </w:r>
          </w:p>
        </w:tc>
      </w:tr>
      <w:tr>
        <w:tc>
          <w:tcPr>
            <w:tcW w:type="dxa" w:w="3135"/>
          </w:tcPr>
          <w:p>
            <w:r>
              <w:t>P6 PDF extraction</w:t>
            </w:r>
          </w:p>
        </w:tc>
        <w:tc>
          <w:tcPr>
            <w:tcW w:type="dxa" w:w="3135"/>
          </w:tcPr>
          <w:p>
            <w:r>
              <w:t>Azure Document Intelligence</w:t>
            </w:r>
          </w:p>
        </w:tc>
        <w:tc>
          <w:tcPr>
            <w:tcW w:type="dxa" w:w="3135"/>
          </w:tcPr>
          <w:p>
            <w:r>
              <w:t>Layout model</w:t>
            </w:r>
          </w:p>
        </w:tc>
      </w:tr>
      <w:tr>
        <w:tc>
          <w:tcPr>
            <w:tcW w:type="dxa" w:w="3135"/>
          </w:tcPr>
          <w:p>
            <w:r>
              <w:t>IMS table generation</w:t>
            </w:r>
          </w:p>
        </w:tc>
        <w:tc>
          <w:tcPr>
            <w:tcW w:type="dxa" w:w="3135"/>
          </w:tcPr>
          <w:p>
            <w:r>
              <w:t>Azure OpenAI</w:t>
            </w:r>
          </w:p>
        </w:tc>
        <w:tc>
          <w:tcPr>
            <w:tcW w:type="dxa" w:w="3135"/>
          </w:tcPr>
          <w:p>
            <w:r>
              <w:t>GPT-5.4 (gpt-5.4)</w:t>
            </w:r>
          </w:p>
        </w:tc>
      </w:tr>
      <w:tr>
        <w:tc>
          <w:tcPr>
            <w:tcW w:type="dxa" w:w="3135"/>
          </w:tcPr>
          <w:p>
            <w:r>
              <w:t>Schedule risk parsing</w:t>
            </w:r>
          </w:p>
        </w:tc>
        <w:tc>
          <w:tcPr>
            <w:tcW w:type="dxa" w:w="3135"/>
          </w:tcPr>
          <w:p>
            <w:r>
              <w:t>Azure OpenAI / DeepSeek</w:t>
            </w:r>
          </w:p>
        </w:tc>
        <w:tc>
          <w:tcPr>
            <w:tcW w:type="dxa" w:w="3135"/>
          </w:tcPr>
          <w:p>
            <w:r>
              <w:t>DeepSeek-V4-Flash</w:t>
            </w:r>
          </w:p>
        </w:tc>
      </w:tr>
      <w:tr>
        <w:tc>
          <w:tcPr>
            <w:tcW w:type="dxa" w:w="3135"/>
          </w:tcPr>
          <w:p>
            <w:r>
              <w:t>Construction risk extraction</w:t>
            </w:r>
          </w:p>
        </w:tc>
        <w:tc>
          <w:tcPr>
            <w:tcW w:type="dxa" w:w="3135"/>
          </w:tcPr>
          <w:p>
            <w:r>
              <w:t>Azure OpenAI / DeepSeek</w:t>
            </w:r>
          </w:p>
        </w:tc>
        <w:tc>
          <w:tcPr>
            <w:tcW w:type="dxa" w:w="3135"/>
          </w:tcPr>
          <w:p>
            <w:r>
              <w:t>DeepSeek-V4-Flash</w:t>
            </w:r>
          </w:p>
        </w:tc>
      </w:tr>
    </w:tbl>
    <w:p/>
    <w:p>
      <w:pPr>
        <w:pStyle w:val="Heading1"/>
      </w:pPr>
      <w:r>
        <w:rPr>
          <w:color w:val="1A3C6E"/>
        </w:rP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Resolution</w:t>
            </w:r>
          </w:p>
        </w:tc>
      </w:tr>
      <w:tr>
        <w:tc>
          <w:tcPr>
            <w:tcW w:type="dxa" w:w="3135"/>
          </w:tcPr>
          <w:p>
            <w:r>
              <w:t>Sign-in fails</w:t>
            </w:r>
          </w:p>
        </w:tc>
        <w:tc>
          <w:tcPr>
            <w:tcW w:type="dxa" w:w="3135"/>
          </w:tcPr>
          <w:p>
            <w:r>
              <w:t>Email not in authorised list</w:t>
            </w:r>
          </w:p>
        </w:tc>
        <w:tc>
          <w:tcPr>
            <w:tcW w:type="dxa" w:w="3135"/>
          </w:tcPr>
          <w:p>
            <w:r>
              <w:t>Contact platform administrator to add email</w:t>
            </w:r>
          </w:p>
        </w:tc>
      </w:tr>
      <w:tr>
        <w:tc>
          <w:tcPr>
            <w:tcW w:type="dxa" w:w="3135"/>
          </w:tcPr>
          <w:p>
            <w:r>
              <w:t>Parsing failed: 500 error</w:t>
            </w:r>
          </w:p>
        </w:tc>
        <w:tc>
          <w:tcPr>
            <w:tcW w:type="dxa" w:w="3135"/>
          </w:tcPr>
          <w:p>
            <w:r>
              <w:t>AI service timeout or malformed Excel</w:t>
            </w:r>
          </w:p>
        </w:tc>
        <w:tc>
          <w:tcPr>
            <w:tcW w:type="dxa" w:w="3135"/>
          </w:tcPr>
          <w:p>
            <w:r>
              <w:t>Check server logs; retry; verify Excel is not password-protected</w:t>
            </w:r>
          </w:p>
        </w:tc>
      </w:tr>
      <w:tr>
        <w:tc>
          <w:tcPr>
            <w:tcW w:type="dxa" w:w="3135"/>
          </w:tcPr>
          <w:p>
            <w:r>
              <w:t>0 construction risks extracted</w:t>
            </w:r>
          </w:p>
        </w:tc>
        <w:tc>
          <w:tcPr>
            <w:tcW w:type="dxa" w:w="3135"/>
          </w:tcPr>
          <w:p>
            <w:r>
              <w:t>Register file is encrypted or in unsupported format</w:t>
            </w:r>
          </w:p>
        </w:tc>
        <w:tc>
          <w:tcPr>
            <w:tcW w:type="dxa" w:w="3135"/>
          </w:tcPr>
          <w:p>
            <w:r>
              <w:t>Save the file as .xlsx in Excel, remove password protection, and re-upload</w:t>
            </w:r>
          </w:p>
        </w:tc>
      </w:tr>
      <w:tr>
        <w:tc>
          <w:tcPr>
            <w:tcW w:type="dxa" w:w="3135"/>
          </w:tcPr>
          <w:p>
            <w:r>
              <w:t>Construction risks fewer than expected</w:t>
            </w:r>
          </w:p>
        </w:tc>
        <w:tc>
          <w:tcPr>
            <w:tcW w:type="dxa" w:w="3135"/>
          </w:tcPr>
          <w:p>
            <w:r>
              <w:t>Closed risks are filtered out by design</w:t>
            </w:r>
          </w:p>
        </w:tc>
        <w:tc>
          <w:tcPr>
            <w:tcW w:type="dxa" w:w="3135"/>
          </w:tcPr>
          <w:p>
            <w:r>
              <w:t>Only Open/Active risks are extracted; verify status column in register</w:t>
            </w:r>
          </w:p>
        </w:tc>
      </w:tr>
      <w:tr>
        <w:tc>
          <w:tcPr>
            <w:tcW w:type="dxa" w:w="3135"/>
          </w:tcPr>
          <w:p>
            <w:r>
              <w:t>No file picker appears</w:t>
            </w:r>
          </w:p>
        </w:tc>
        <w:tc>
          <w:tcPr>
            <w:tcW w:type="dxa" w:w="3135"/>
          </w:tcPr>
          <w:p>
            <w:r>
              <w:t>Browser focus issue on macOS</w:t>
            </w:r>
          </w:p>
        </w:tc>
        <w:tc>
          <w:tcPr>
            <w:tcW w:type="dxa" w:w="3135"/>
          </w:tcPr>
          <w:p>
            <w:r>
              <w:t>Click elsewhere on the page first, then click Choose file again</w:t>
            </w:r>
          </w:p>
        </w:tc>
      </w:tr>
      <w:tr>
        <w:tc>
          <w:tcPr>
            <w:tcW w:type="dxa" w:w="3135"/>
          </w:tcPr>
          <w:p>
            <w:r>
              <w:t>Results do not match expected risks</w:t>
            </w:r>
          </w:p>
        </w:tc>
        <w:tc>
          <w:tcPr>
            <w:tcW w:type="dxa" w:w="3135"/>
          </w:tcPr>
          <w:p>
            <w:r>
              <w:t>AI consolidation or category mismatch</w:t>
            </w:r>
          </w:p>
        </w:tc>
        <w:tc>
          <w:tcPr>
            <w:tcW w:type="dxa" w:w="3135"/>
          </w:tcPr>
          <w:p>
            <w:r>
              <w:t>Use + Add Risk or inline edit to correct; adjust evidence and scores manually</w:t>
            </w:r>
          </w:p>
        </w:tc>
      </w:tr>
    </w:tbl>
    <w:p/>
    <w:p>
      <w:pPr>
        <w:pStyle w:val="Heading1"/>
      </w:pPr>
      <w:r>
        <w:rPr>
          <w:color w:val="1A3C6E"/>
        </w:rPr>
        <w:t>9.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135"/>
            <w:shd w:val="clear" w:color="auto" w:fill="1A3C6E"/>
          </w:tcPr>
          <w:p>
            <w:r>
              <w:rPr>
                <w:b/>
                <w:color w:val="FFFFFF"/>
              </w:rPr>
              <w:t>Summary of Changes</w:t>
            </w:r>
          </w:p>
        </w:tc>
      </w:tr>
      <w:tr>
        <w:tc>
          <w:tcPr>
            <w:tcW w:type="dxa" w:w="3135"/>
          </w:tcPr>
          <w:p>
            <w:r>
              <w:t>1.0</w:t>
            </w:r>
          </w:p>
        </w:tc>
        <w:tc>
          <w:tcPr>
            <w:tcW w:type="dxa" w:w="3135"/>
          </w:tcPr>
          <w:p>
            <w:r>
              <w:t>02 May 2026</w:t>
            </w:r>
          </w:p>
        </w:tc>
        <w:tc>
          <w:tcPr>
            <w:tcW w:type="dxa" w:w="3135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