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Encaminhamentos.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Encaminhamentos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Encaminhamentos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Encaminhamentos. O caso de uso inicia quando o usuário do sistema necessita cadastrar o Encaminhamentos.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137"/>
        <w:gridCol w:w="2763"/>
        <w:gridCol w:w="2606"/>
      </w:tblGrid>
      <w:tr>
        <w:trPr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>
          <w:color w:val="000000"/>
        </w:rPr>
      </w:pPr>
      <w:r>
        <w:rPr>
          <w:color w:val="000000"/>
        </w:rPr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Encaminhamento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Código</w:t>
      </w:r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do encaminhamento;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Candidato;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Vaga;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Usuário que efetuou a ultima alteração;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Valor;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pagamento;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Encaminhamento, onde o sub fluxo Cadastrar Encaminhamento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Encaminhamento, selecionando o Encaminhamento desejado, onde o sub fluxo Editar Encaminhamento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>
          <w:color w:val="000000"/>
        </w:rPr>
      </w:pPr>
      <w:r>
        <w:rPr>
          <w:color w:val="000000"/>
        </w:rPr>
        <w:t>12.5. Fluxos Alternativos</w:t>
      </w:r>
    </w:p>
    <w:p>
      <w:pPr>
        <w:pStyle w:val="Estilo2"/>
        <w:rPr>
          <w:b/>
          <w:bCs/>
          <w:i w:val="false"/>
          <w:iCs w:val="false"/>
          <w:color w:val="000000"/>
          <w:sz w:val="24"/>
        </w:rPr>
      </w:pPr>
      <w:r>
        <w:rPr>
          <w:b/>
          <w:bCs/>
          <w:i w:val="false"/>
          <w:iCs w:val="false"/>
          <w:color w:val="000000"/>
          <w:sz w:val="24"/>
        </w:rPr>
        <w:t>12.5.1. Cadastrar Encaminhamento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Encaminhamento;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O Sistema d</w:t>
      </w:r>
      <w:r>
        <w:rPr>
          <w:rFonts w:ascii="Times New Roman" w:hAnsi="Times New Roman"/>
          <w:color w:val="000000"/>
          <w:sz w:val="24"/>
        </w:rPr>
        <w:t>isponibiliza os seguintes dados para cadastramento: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Situação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Candidato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Vaga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Observações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Um novo Encaminhamento é incluído no sistema </w:t>
      </w:r>
      <w:r>
        <w:rPr>
          <w:rFonts w:ascii="Times New Roman" w:hAnsi="Times New Roman"/>
          <w:color w:val="000000"/>
          <w:sz w:val="24"/>
        </w:rPr>
        <w:t>[E1]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Estilo3"/>
        <w:rPr>
          <w:color w:val="000000"/>
        </w:rPr>
      </w:pPr>
      <w:r>
        <w:rPr>
          <w:color w:val="000000"/>
        </w:rPr>
        <w:t>12.5.2. Editar Encaminhamento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a edição dos dados do Encaminhamento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O sistema exibe os dados d</w:t>
      </w:r>
      <w:r>
        <w:rPr>
          <w:rFonts w:ascii="Times New Roman" w:hAnsi="Times New Roman"/>
          <w:sz w:val="24"/>
        </w:rPr>
        <w:t>o Encaminhamento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Situação</w:t>
      </w:r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pagamento;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O cadastro do Encami</w:t>
      </w:r>
      <w:r>
        <w:rPr>
          <w:rFonts w:ascii="Times New Roman" w:hAnsi="Times New Roman"/>
          <w:color w:val="000000"/>
          <w:sz w:val="24"/>
        </w:rPr>
        <w:t>nhamento é alterado.</w:t>
      </w:r>
    </w:p>
    <w:p>
      <w:pPr>
        <w:pStyle w:val="Estilo2"/>
        <w:rPr>
          <w:color w:val="000000"/>
        </w:rPr>
      </w:pPr>
      <w:r>
        <w:rPr>
          <w:color w:val="000000"/>
        </w:rPr>
        <w:t>12.6. Fluxos de Exceção</w:t>
      </w:r>
    </w:p>
    <w:p>
      <w:pPr>
        <w:pStyle w:val="Estilo4"/>
        <w:rPr>
          <w:color w:val="000000"/>
        </w:rPr>
      </w:pPr>
      <w:r>
        <w:rPr>
          <w:b/>
        </w:rPr>
        <w:t>E1</w:t>
      </w:r>
      <w:r>
        <w:rPr/>
        <w:t xml:space="preserve"> – </w:t>
      </w:r>
      <w:r>
        <w:rPr/>
        <w:t>Um candidato não poderá ser encaminhado duas vezes para a mesma vaga, caso o usuário tente salvar esse encaminhamento o sistema retornará a mensagem “Erro ao efetuar encaminhamento. Verifique se 'Candidato' já foi encaminhado (a) para essa vaga”</w:t>
      </w:r>
      <w:r>
        <w:rPr>
          <w:color w:val="000000"/>
        </w:rPr>
        <w:t>.</w:t>
      </w:r>
    </w:p>
    <w:p>
      <w:pPr>
        <w:pStyle w:val="Estilo2"/>
        <w:rPr>
          <w:color w:val="000000"/>
        </w:rPr>
      </w:pPr>
      <w:r>
        <w:rPr>
          <w:color w:val="000000"/>
        </w:rPr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Não há pós condição</w:t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.</w:t>
      </w:r>
    </w:p>
    <w:p>
      <w:pPr>
        <w:pStyle w:val="Estilo2"/>
        <w:rPr/>
      </w:pPr>
      <w:r>
        <w:rPr>
          <w:color w:val="000000"/>
        </w:rPr>
        <w:t>12.8. Requisitos Não</w:t>
      </w:r>
      <w:r>
        <w:rPr/>
        <w:t xml:space="preserve">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>
          <w:color w:val="000000"/>
        </w:rPr>
      </w:pPr>
      <w:r>
        <w:rPr>
          <w:color w:val="000000"/>
        </w:rPr>
        <w:t>12.9. Relacionamentos com outros Casos de Uso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Gerenciar candidato,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vaga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;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8206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7617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Courier New"/>
    </w:rPr>
  </w:style>
  <w:style w:type="character" w:styleId="ListLabel30">
    <w:name w:val="ListLabel 30"/>
    <w:rPr>
      <w:rFonts w:cs="Wingdings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