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operating-room overtime concentrates and why: a retrospective single-centre study</w:t>
      </w:r>
    </w:p>
    <w:p>
      <w:pPr>
        <w:spacing w:after="120" w:before="120" w:line="480" w:lineRule="exact"/>
        <w:jc w:val="left"/>
      </w:pPr>
      <w:r>
        <w:rPr>
          <w:rFonts w:ascii="Times New Roman" w:hAnsi="Times New Roman"/>
          <w:b w:val="0"/>
          <w:i/>
          <w:sz w:val="24"/>
        </w:rPr>
        <w:t>[Authors and affiliations removed for blinded review]</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[removed for blinded review]</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3,094 (body text, excluding abstract, tables, and references)</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higher patient mortality and staff burnout, and it costs roughly twice as much per minute as underutilised time. Most studies report overtime as a hospital-wide aggregate, which can obscure where the problem concentrates and misdirect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characterise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using administrative operating-room data from a 24/7 tertiary hospital in Belgium with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Of 79,352 cases, 7,729 (9.7%) ran past the end of their assigned shift, with a mean overtime of 60.3 minutes and a 95th percentile of 197 minutes. Overtime concentrated in a few rooms: OR10 ran overtime on 32.9% of its cases (mean 154 minutes), while OR14 ran 3.5%. Urgent cases ran after-hours at more than twice the elective rate (18.2% versus 8.3%). Unplanned urgent cases disrupted the elective programme on 68.8% of observation days, with a median difference of approximately 30 minutes in elective start times. Start-time punctuality showed no association with room-level overtime, whereas rooms with longer gaps between cases also had higher overtime rates.</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Overtime was concentrated in a small number of rooms, driven by case-mix complexity and routine urgent-case disruption of the elective programme. Room-level monitoring and scheduling that accounts for urgent-case flow are more actionable targets than start-time punctuality.</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higher patient mortality and staff burnout, and overutilised time costs roughly twice as much per minute as underutilised time.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single-centre retrospective analysis of 79,352 surgical cases, overtime concentrated in a few rooms, with a nearly ten-fold spread within one hospital (3.5% to 32.9%). Case-mix complexity and unplanned urgent cases disrupting the elective programme were the factors most visibly associated with room-level overtime, and rooms with longer gaps between cases also ran more overtime; start-time punctuality was not associated with room-level overtime.</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actual schedules routinely diverge from planned ones. Overtime in this setting can refer to several distinct phenomena: an individual case running longer than its booked duration, an operating list ending after its scheduled close, or surgery continuing into a period when different staff are rostered. These are different operational events with different consequences. Standardised glossaries of perioperative process times define overrun and utilisation relative to allocated operating-room capacity.</w:t>
      </w:r>
      <w:r>
        <w:rPr>
          <w:rFonts w:ascii="Times New Roman" w:hAnsi="Times New Roman"/>
          <w:sz w:val="24"/>
          <w:vertAlign w:val="superscript"/>
        </w:rPr>
        <w:t>1</w:t>
      </w:r>
      <w:r>
        <w:rPr>
          <w:rFonts w:ascii="Times New Roman" w:hAnsi="Times New Roman"/>
          <w:b w:val="0"/>
          <w:i w:val="0"/>
          <w:sz w:val="24"/>
        </w:rPr>
        <w:t xml:space="preserve"> We instead define overtime against the staffing boundary, in line with the staff-overtime literature, where overtime is work beyond contracted hours;</w:t>
      </w:r>
      <w:r>
        <w:rPr>
          <w:rFonts w:ascii="Times New Roman" w:hAnsi="Times New Roman"/>
          <w:sz w:val="24"/>
          <w:vertAlign w:val="superscript"/>
        </w:rPr>
        <w:t>2</w:t>
      </w:r>
      <w:r>
        <w:rPr>
          <w:rFonts w:ascii="Times New Roman" w:hAnsi="Times New Roman"/>
          <w:b w:val="0"/>
          <w:i w:val="0"/>
          <w:sz w:val="24"/>
        </w:rPr>
        <w:t xml:space="preserve"> the change of nursing staff at each shift end is the operational event that gives overtime its meaning at this site. Overutilised time costs roughly double what underutilised time does,</w:t>
      </w:r>
      <w:r>
        <w:rPr>
          <w:rFonts w:ascii="Times New Roman" w:hAnsi="Times New Roman"/>
          <w:sz w:val="24"/>
          <w:vertAlign w:val="superscript"/>
        </w:rPr>
        <w:t>3</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next shift, when a different team is on duty. Most overtime at this site crosses the day-to-evening boundary, so the after-hours surgery literature is directly relevant. That literature defines the exposure by clock time rather than by a staffing boundary. Overtime and after-hours surgery are not identical, but overtime is one of the routes by which scheduled daytime work ends up being performed after hours, so the harms reported for after-hours surgery are relevant. After-hours surgery has been linked to higher patient mortality. A meta-analysis pooling 18 studies found an adjusted odds ratio of 1.16 (95% CI 1.06 to 1.28), graded as low-certainty evidence.</w:t>
      </w:r>
      <w:r>
        <w:rPr>
          <w:rFonts w:ascii="Times New Roman" w:hAnsi="Times New Roman"/>
          <w:sz w:val="24"/>
          <w:vertAlign w:val="superscript"/>
        </w:rPr>
        <w:t>4</w:t>
      </w:r>
      <w:r>
        <w:rPr>
          <w:rFonts w:ascii="Times New Roman" w:hAnsi="Times New Roman"/>
          <w:b w:val="0"/>
          <w:i w:val="0"/>
          <w:sz w:val="24"/>
        </w:rPr>
        <w:t xml:space="preserve"> A propensity-matched cohort study of 281,717 South Korean patients found a larger effect for 90-day mortality (odds ratio 3.58), although that estimate has been challenged on residual-confounding grounds.</w:t>
      </w:r>
      <w:r>
        <w:rPr>
          <w:rFonts w:ascii="Times New Roman" w:hAnsi="Times New Roman"/>
          <w:sz w:val="24"/>
          <w:vertAlign w:val="superscript"/>
        </w:rPr>
        <w:t>5,6</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7</w:t>
      </w:r>
      <w:r>
        <w:rPr>
          <w:rFonts w:ascii="Times New Roman" w:hAnsi="Times New Roman"/>
          <w:b w:val="0"/>
          <w:i w:val="0"/>
          <w:sz w:val="24"/>
        </w:rPr>
        <w:t xml:space="preserve"> A systematic review of elective non-cardiac surgery confirmed the direction: evening and night procedures carried higher mortality and morbidity than daytime procedures, although the quality of evidence was low.</w:t>
      </w:r>
      <w:r>
        <w:rPr>
          <w:rFonts w:ascii="Times New Roman" w:hAnsi="Times New Roman"/>
          <w:sz w:val="24"/>
          <w:vertAlign w:val="superscript"/>
        </w:rPr>
        <w:t>8</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9</w:t>
      </w:r>
      <w:r>
        <w:rPr>
          <w:rFonts w:ascii="Times New Roman" w:hAnsi="Times New Roman"/>
          <w:b w:val="0"/>
          <w:i w:val="0"/>
          <w:sz w:val="24"/>
        </w:rPr>
        <w:t xml:space="preserve"> A 2025 UK national patient-safety investigation into staff fatigue cited a Medical Defence Union survey of 481 doctors in which 22% reported daily sleep deprivation and 35% said tiredness had impaired their ability to treat patients, with long shifts and overtime among the contributing factors.</w:t>
      </w:r>
      <w:r>
        <w:rPr>
          <w:rFonts w:ascii="Times New Roman" w:hAnsi="Times New Roman"/>
          <w:sz w:val="24"/>
          <w:vertAlign w:val="superscript"/>
        </w:rPr>
        <w:t>10</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11</w:t>
      </w:r>
    </w:p>
    <w:p>
      <w:pPr>
        <w:spacing w:after="120" w:before="0" w:line="480" w:lineRule="exact"/>
        <w:jc w:val="left"/>
      </w:pPr>
      <w:r>
        <w:rPr>
          <w:rFonts w:ascii="Times New Roman" w:hAnsi="Times New Roman"/>
          <w:b w:val="0"/>
          <w:i w:val="0"/>
          <w:sz w:val="24"/>
        </w:rPr>
        <w:t>The consequences for staff are also well documented.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12</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13</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14</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15</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continues with fewer rooms open and with nursing staff who were not present at the start of the case.</w:t>
      </w:r>
    </w:p>
    <w:p>
      <w:pPr>
        <w:spacing w:after="120" w:before="0" w:line="480" w:lineRule="exact"/>
        <w:jc w:val="left"/>
      </w:pPr>
      <w:r>
        <w:rPr>
          <w:rFonts w:ascii="Times New Roman" w:hAnsi="Times New Roman"/>
          <w:b w:val="0"/>
          <w:i w:val="0"/>
          <w:sz w:val="24"/>
        </w:rPr>
        <w:t>Prior work on operating-room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Workflow disruptions consume a substantial share of operating time,</w:t>
      </w:r>
      <w:r>
        <w:rPr>
          <w:rFonts w:ascii="Times New Roman" w:hAnsi="Times New Roman"/>
          <w:sz w:val="24"/>
          <w:vertAlign w:val="superscript"/>
        </w:rPr>
        <w:t>18</w:t>
      </w:r>
      <w:r>
        <w:rPr>
          <w:rFonts w:ascii="Times New Roman" w:hAnsi="Times New Roman"/>
          <w:b w:val="0"/>
          <w:i w:val="0"/>
          <w:sz w:val="24"/>
        </w:rPr>
        <w:t xml:space="preserve"> and minor disruptions can escalate into major ones.</w:t>
      </w:r>
      <w:r>
        <w:rPr>
          <w:rFonts w:ascii="Times New Roman" w:hAnsi="Times New Roman"/>
          <w:sz w:val="24"/>
          <w:vertAlign w:val="superscript"/>
        </w:rPr>
        <w:t>19</w:t>
      </w:r>
      <w:r>
        <w:rPr>
          <w:rFonts w:ascii="Times New Roman" w:hAnsi="Times New Roman"/>
          <w:b w:val="0"/>
          <w:i w:val="0"/>
          <w:sz w:val="24"/>
        </w:rPr>
        <w:t xml:space="preserve"> Whether overtime concentrates in specific rooms within a single hospital, and which operational factors are associated with it, remain open questions.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programme at the study hospital to improve OR performance. Using administrative data, we address two research questions:</w:t>
      </w:r>
    </w:p>
    <w:p>
      <w:pPr>
        <w:spacing w:after="60" w:before="0" w:line="480" w:lineRule="exact"/>
        <w:jc w:val="left"/>
      </w:pPr>
      <w:r>
        <w:rPr>
          <w:rFonts w:ascii="Times New Roman" w:hAnsi="Times New Roman"/>
          <w:b w:val="0"/>
          <w:i w:val="0"/>
          <w:sz w:val="24"/>
        </w:rPr>
        <w:t>1. How is overtime distributed across rooms and time within one tertiary hospital (RQ1)?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start-time punctuality) are associated with overtime (RQ2)?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operating rooms and 7 interventional operating rooms. The surgical staff includes 195 surgeons and 207 anaesthesiologists (including trainees and fellows), covering all surgical specialities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from the 18 surgical operating rooms. Endoscopy suites and catheterisation laboratory cases without an anaesthesiologist present were excluded. Cases with implausible timestamps (zero observed duration, planned duration exceeding 24 hours, or extreme deviations from the planned schedule) were also removed. The final cohort comprised 79,352 cases involving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(cases scheduled or performed within 24 hours of booking were classified as non-elective, hereafter referred to as urgent; all others were classified as elective), and room assignment. From these inputs we derived observed duration, planning deviation, and start-time deviation following standard perioperative process-time definitions,</w:t>
      </w:r>
      <w:r>
        <w:rPr>
          <w:rFonts w:ascii="Times New Roman" w:hAnsi="Times New Roman"/>
          <w:sz w:val="24"/>
          <w:vertAlign w:val="superscript"/>
        </w:rPr>
        <w:t>1</w:t>
      </w:r>
      <w:r>
        <w:rPr>
          <w:rFonts w:ascii="Times New Roman" w:hAnsi="Times New Roman"/>
          <w:b w:val="0"/>
          <w:i w:val="0"/>
          <w:sz w:val="24"/>
        </w:rPr>
        <w:t xml:space="preserve"> and additionally defined an overtime flag and overtime minutes, a room-swap flag, and a shift label (defined below).</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(room-in from 07:30 to 16:30, shift end 16:30), evening (room-in from 16:30 to 22:00, shift end 22:00), or night (room-in from 22:00 to 07:30, shift end 08:00). The same boundaries were applied on weekends.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Room-level overtime was the primary metric because aggregate utilisation measures can misrepresent the performance of individual rooms</w:t>
      </w:r>
      <w:r>
        <w:rPr>
          <w:rFonts w:ascii="Times New Roman" w:hAnsi="Times New Roman"/>
          <w:sz w:val="24"/>
          <w:vertAlign w:val="superscript"/>
        </w:rPr>
        <w:t>16</w:t>
      </w:r>
      <w:r>
        <w:rPr>
          <w:rFonts w:ascii="Times New Roman" w:hAnsi="Times New Roman"/>
          <w:b w:val="0"/>
          <w:i w:val="0"/>
          <w:sz w:val="24"/>
        </w:rPr>
        <w:t xml:space="preserve"> and published OR performance metrics lack standardised definitions.</w:t>
      </w:r>
      <w:r>
        <w:rPr>
          <w:rFonts w:ascii="Times New Roman" w:hAnsi="Times New Roman"/>
          <w:sz w:val="24"/>
          <w:vertAlign w:val="superscript"/>
        </w:rPr>
        <w:t>20</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21,22</w:t>
      </w:r>
      <w:r>
        <w:rPr>
          <w:rFonts w:ascii="Times New Roman" w:hAnsi="Times New Roman"/>
          <w:b w:val="0"/>
          <w:i w:val="0"/>
          <w:sz w:val="24"/>
        </w:rPr>
        <w:t xml:space="preserve"> urgency mix and timing, urgent-elective interaction (defined and reported in Results), start-time deviation per room, inter-case idle time, and room swaps. Inter-case idle time was measured during the day shift as the gap between consecutive cases in the same room, including the gap from shift start to the first case and excluding gaps longer than 60 minutes as planned downtime. An urgent-elective overlap was flagged when an urgent case occupied a room during a window in which an elective case had been planned in that room; start-delay comparisons are made at case level between overlapped and non-overlapped elective cases. Spearman rank correlations across the 18 rooms were computed between room-level overtime rate and two candidate factors: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was sought.</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surgical cases performed on 60,895 unique patients across 18 operating rooms between January 2022 and May 2025 (Table 1). Cases covered 1,276 distinct procedure types performed by 195 surgeons and 207 anaesthesiologists. The urgency mix was 85.4% elective and 14.6% urgent (non-elective); 42.3% of cases were ambulatory, and almost all activity (96.1%) fell on weekdays. Annual volume grew from 22,133 in 2022 to 23,738 in 2024, with 9,906 cases recorded through May 2025.</w:t>
      </w:r>
    </w:p>
    <w:p>
      <w:pPr>
        <w:spacing w:after="120" w:before="0" w:line="480" w:lineRule="exact"/>
        <w:jc w:val="left"/>
      </w:pPr>
      <w:r>
        <w:rPr>
          <w:rFonts w:ascii="Times New Roman" w:hAnsi="Times New Roman"/>
          <w:b/>
          <w:sz w:val="24"/>
        </w:rPr>
        <w:t>Table 1. Study cohort characteristics.</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Characteristic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Surgical cases</w:t>
            </w:r>
          </w:p>
        </w:tc>
        <w:tc>
          <w:tcPr>
            <w:tcW w:type="dxa" w:w="4703"/>
          </w:tcPr>
          <w:p>
            <w:pPr>
              <w:spacing w:line="260" w:lineRule="exact" w:after="0"/>
            </w:pPr>
            <w:r/>
            <w:r>
              <w:rPr>
                <w:rFonts w:ascii="Times New Roman" w:hAnsi="Times New Roman"/>
                <w:b w:val="0"/>
                <w:i w:val="0"/>
                <w:sz w:val="22"/>
              </w:rPr>
              <w:t>79,352</w:t>
            </w:r>
          </w:p>
        </w:tc>
      </w:tr>
      <w:tr>
        <w:tc>
          <w:tcPr>
            <w:tcW w:type="dxa" w:w="4703"/>
          </w:tcPr>
          <w:p>
            <w:pPr>
              <w:spacing w:line="260" w:lineRule="exact" w:after="0"/>
            </w:pPr>
            <w:r/>
            <w:r>
              <w:rPr>
                <w:rFonts w:ascii="Times New Roman" w:hAnsi="Times New Roman"/>
                <w:b w:val="0"/>
                <w:i w:val="0"/>
                <w:sz w:val="22"/>
              </w:rPr>
              <w:t>Unique patients</w:t>
            </w:r>
          </w:p>
        </w:tc>
        <w:tc>
          <w:tcPr>
            <w:tcW w:type="dxa" w:w="4703"/>
          </w:tcPr>
          <w:p>
            <w:pPr>
              <w:spacing w:line="260" w:lineRule="exact" w:after="0"/>
            </w:pPr>
            <w:r/>
            <w:r>
              <w:rPr>
                <w:rFonts w:ascii="Times New Roman" w:hAnsi="Times New Roman"/>
                <w:b w:val="0"/>
                <w:i w:val="0"/>
                <w:sz w:val="22"/>
              </w:rPr>
              <w:t>60,895</w:t>
            </w:r>
          </w:p>
        </w:tc>
      </w:tr>
      <w:tr>
        <w:tc>
          <w:tcPr>
            <w:tcW w:type="dxa" w:w="4703"/>
          </w:tcPr>
          <w:p>
            <w:pPr>
              <w:spacing w:line="260" w:lineRule="exact" w:after="0"/>
            </w:pPr>
            <w:r/>
            <w:r>
              <w:rPr>
                <w:rFonts w:ascii="Times New Roman" w:hAnsi="Times New Roman"/>
                <w:b w:val="0"/>
                <w:i w:val="0"/>
                <w:sz w:val="22"/>
              </w:rPr>
              <w:t>Surgical operating rooms</w:t>
            </w:r>
          </w:p>
        </w:tc>
        <w:tc>
          <w:tcPr>
            <w:tcW w:type="dxa" w:w="4703"/>
          </w:tcPr>
          <w:p>
            <w:pPr>
              <w:spacing w:line="260" w:lineRule="exact" w:after="0"/>
            </w:pPr>
            <w:r/>
            <w:r>
              <w:rPr>
                <w:rFonts w:ascii="Times New Roman" w:hAnsi="Times New Roman"/>
                <w:b w:val="0"/>
                <w:i w:val="0"/>
                <w:sz w:val="22"/>
              </w:rPr>
              <w:t>18</w:t>
            </w:r>
          </w:p>
        </w:tc>
      </w:tr>
      <w:tr>
        <w:tc>
          <w:tcPr>
            <w:tcW w:type="dxa" w:w="4703"/>
          </w:tcPr>
          <w:p>
            <w:pPr>
              <w:spacing w:line="260" w:lineRule="exact" w:after="0"/>
            </w:pPr>
            <w:r/>
            <w:r>
              <w:rPr>
                <w:rFonts w:ascii="Times New Roman" w:hAnsi="Times New Roman"/>
                <w:b w:val="0"/>
                <w:i w:val="0"/>
                <w:sz w:val="22"/>
              </w:rPr>
              <w:t>Distinct procedure types</w:t>
            </w:r>
          </w:p>
        </w:tc>
        <w:tc>
          <w:tcPr>
            <w:tcW w:type="dxa" w:w="4703"/>
          </w:tcPr>
          <w:p>
            <w:pPr>
              <w:spacing w:line="260" w:lineRule="exact" w:after="0"/>
            </w:pPr>
            <w:r/>
            <w:r>
              <w:rPr>
                <w:rFonts w:ascii="Times New Roman" w:hAnsi="Times New Roman"/>
                <w:b w:val="0"/>
                <w:i w:val="0"/>
                <w:sz w:val="22"/>
              </w:rPr>
              <w:t>1,276</w:t>
            </w:r>
          </w:p>
        </w:tc>
      </w:tr>
      <w:tr>
        <w:tc>
          <w:tcPr>
            <w:tcW w:type="dxa" w:w="4703"/>
          </w:tcPr>
          <w:p>
            <w:pPr>
              <w:spacing w:line="260" w:lineRule="exact" w:after="0"/>
            </w:pPr>
            <w:r/>
            <w:r>
              <w:rPr>
                <w:rFonts w:ascii="Times New Roman" w:hAnsi="Times New Roman"/>
                <w:b w:val="0"/>
                <w:i w:val="0"/>
                <w:sz w:val="22"/>
              </w:rPr>
              <w:t>Surgeons</w:t>
            </w:r>
          </w:p>
        </w:tc>
        <w:tc>
          <w:tcPr>
            <w:tcW w:type="dxa" w:w="4703"/>
          </w:tcPr>
          <w:p>
            <w:pPr>
              <w:spacing w:line="260" w:lineRule="exact" w:after="0"/>
            </w:pPr>
            <w:r/>
            <w:r>
              <w:rPr>
                <w:rFonts w:ascii="Times New Roman" w:hAnsi="Times New Roman"/>
                <w:b w:val="0"/>
                <w:i w:val="0"/>
                <w:sz w:val="22"/>
              </w:rPr>
              <w:t>195</w:t>
            </w:r>
          </w:p>
        </w:tc>
      </w:tr>
      <w:tr>
        <w:tc>
          <w:tcPr>
            <w:tcW w:type="dxa" w:w="4703"/>
          </w:tcPr>
          <w:p>
            <w:pPr>
              <w:spacing w:line="260" w:lineRule="exact" w:after="0"/>
            </w:pPr>
            <w:r/>
            <w:r>
              <w:rPr>
                <w:rFonts w:ascii="Times New Roman" w:hAnsi="Times New Roman"/>
                <w:b w:val="0"/>
                <w:i w:val="0"/>
                <w:sz w:val="22"/>
              </w:rPr>
              <w:t>Anaesthesiologists</w:t>
            </w:r>
          </w:p>
        </w:tc>
        <w:tc>
          <w:tcPr>
            <w:tcW w:type="dxa" w:w="4703"/>
          </w:tcPr>
          <w:p>
            <w:pPr>
              <w:spacing w:line="260" w:lineRule="exact" w:after="0"/>
            </w:pPr>
            <w:r/>
            <w:r>
              <w:rPr>
                <w:rFonts w:ascii="Times New Roman" w:hAnsi="Times New Roman"/>
                <w:b w:val="0"/>
                <w:i w:val="0"/>
                <w:sz w:val="22"/>
              </w:rPr>
              <w:t>207</w:t>
            </w:r>
          </w:p>
        </w:tc>
      </w:tr>
      <w:tr>
        <w:tc>
          <w:tcPr>
            <w:tcW w:type="dxa" w:w="4703"/>
          </w:tcPr>
          <w:p>
            <w:pPr>
              <w:spacing w:line="260" w:lineRule="exact" w:after="0"/>
            </w:pPr>
            <w:r/>
            <w:r>
              <w:rPr>
                <w:rFonts w:ascii="Times New Roman" w:hAnsi="Times New Roman"/>
                <w:b w:val="0"/>
                <w:i w:val="0"/>
                <w:sz w:val="22"/>
              </w:rPr>
              <w:t>Study period</w:t>
            </w:r>
          </w:p>
        </w:tc>
        <w:tc>
          <w:tcPr>
            <w:tcW w:type="dxa" w:w="4703"/>
          </w:tcPr>
          <w:p>
            <w:pPr>
              <w:spacing w:line="260" w:lineRule="exact" w:after="0"/>
            </w:pPr>
            <w:r/>
            <w:r>
              <w:rPr>
                <w:rFonts w:ascii="Times New Roman" w:hAnsi="Times New Roman"/>
                <w:b w:val="0"/>
                <w:i w:val="0"/>
                <w:sz w:val="22"/>
              </w:rPr>
              <w:t>January 2022 – May 2025</w:t>
            </w:r>
          </w:p>
        </w:tc>
      </w:tr>
      <w:tr>
        <w:tc>
          <w:tcPr>
            <w:tcW w:type="dxa" w:w="4703"/>
          </w:tcPr>
          <w:p>
            <w:pPr>
              <w:spacing w:line="260" w:lineRule="exact" w:after="0"/>
            </w:pPr>
            <w:r/>
            <w:r>
              <w:rPr>
                <w:rFonts w:ascii="Times New Roman" w:hAnsi="Times New Roman"/>
                <w:b/>
                <w:sz w:val="22"/>
              </w:rPr>
              <w:t>Admission type</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Ambulatory (day surgery)</w:t>
            </w:r>
          </w:p>
        </w:tc>
        <w:tc>
          <w:tcPr>
            <w:tcW w:type="dxa" w:w="4703"/>
          </w:tcPr>
          <w:p>
            <w:pPr>
              <w:spacing w:line="260" w:lineRule="exact" w:after="0"/>
            </w:pPr>
            <w:r/>
            <w:r>
              <w:rPr>
                <w:rFonts w:ascii="Times New Roman" w:hAnsi="Times New Roman"/>
                <w:b w:val="0"/>
                <w:i w:val="0"/>
                <w:sz w:val="22"/>
              </w:rPr>
              <w:t>33,566 (42.3)</w:t>
            </w:r>
          </w:p>
        </w:tc>
      </w:tr>
      <w:tr>
        <w:tc>
          <w:tcPr>
            <w:tcW w:type="dxa" w:w="4703"/>
          </w:tcPr>
          <w:p>
            <w:pPr>
              <w:spacing w:line="260" w:lineRule="exact" w:after="0"/>
            </w:pPr>
            <w:r/>
            <w:r>
              <w:rPr>
                <w:rFonts w:ascii="Times New Roman" w:hAnsi="Times New Roman"/>
                <w:b w:val="0"/>
                <w:i w:val="0"/>
                <w:sz w:val="22"/>
              </w:rPr>
              <w:t>Inpatient</w:t>
            </w:r>
          </w:p>
        </w:tc>
        <w:tc>
          <w:tcPr>
            <w:tcW w:type="dxa" w:w="4703"/>
          </w:tcPr>
          <w:p>
            <w:pPr>
              <w:spacing w:line="260" w:lineRule="exact" w:after="0"/>
            </w:pPr>
            <w:r/>
            <w:r>
              <w:rPr>
                <w:rFonts w:ascii="Times New Roman" w:hAnsi="Times New Roman"/>
                <w:b w:val="0"/>
                <w:i w:val="0"/>
                <w:sz w:val="22"/>
              </w:rPr>
              <w:t>45,786 (57.7)</w:t>
            </w:r>
          </w:p>
        </w:tc>
      </w:tr>
      <w:tr>
        <w:tc>
          <w:tcPr>
            <w:tcW w:type="dxa" w:w="4703"/>
          </w:tcPr>
          <w:p>
            <w:pPr>
              <w:spacing w:line="260" w:lineRule="exact" w:after="0"/>
            </w:pPr>
            <w:r/>
            <w:r>
              <w:rPr>
                <w:rFonts w:ascii="Times New Roman" w:hAnsi="Times New Roman"/>
                <w:b/>
                <w:sz w:val="22"/>
              </w:rPr>
              <w:t>Urgency</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Elective</w:t>
            </w:r>
          </w:p>
        </w:tc>
        <w:tc>
          <w:tcPr>
            <w:tcW w:type="dxa" w:w="4703"/>
          </w:tcPr>
          <w:p>
            <w:pPr>
              <w:spacing w:line="260" w:lineRule="exact" w:after="0"/>
            </w:pPr>
            <w:r/>
            <w:r>
              <w:rPr>
                <w:rFonts w:ascii="Times New Roman" w:hAnsi="Times New Roman"/>
                <w:b w:val="0"/>
                <w:i w:val="0"/>
                <w:sz w:val="22"/>
              </w:rPr>
              <w:t>67,736 (85.4)</w:t>
            </w:r>
          </w:p>
        </w:tc>
      </w:tr>
      <w:tr>
        <w:tc>
          <w:tcPr>
            <w:tcW w:type="dxa" w:w="4703"/>
          </w:tcPr>
          <w:p>
            <w:pPr>
              <w:spacing w:line="260" w:lineRule="exact" w:after="0"/>
            </w:pPr>
            <w:r/>
            <w:r>
              <w:rPr>
                <w:rFonts w:ascii="Times New Roman" w:hAnsi="Times New Roman"/>
                <w:b w:val="0"/>
                <w:i w:val="0"/>
                <w:sz w:val="22"/>
              </w:rPr>
              <w:t>Urgent (non-elective)</w:t>
            </w:r>
          </w:p>
        </w:tc>
        <w:tc>
          <w:tcPr>
            <w:tcW w:type="dxa" w:w="4703"/>
          </w:tcPr>
          <w:p>
            <w:pPr>
              <w:spacing w:line="260" w:lineRule="exact" w:after="0"/>
            </w:pPr>
            <w:r/>
            <w:r>
              <w:rPr>
                <w:rFonts w:ascii="Times New Roman" w:hAnsi="Times New Roman"/>
                <w:b w:val="0"/>
                <w:i w:val="0"/>
                <w:sz w:val="22"/>
              </w:rPr>
              <w:t>11,616 (14.6)</w:t>
            </w:r>
          </w:p>
        </w:tc>
      </w:tr>
      <w:tr>
        <w:tc>
          <w:tcPr>
            <w:tcW w:type="dxa" w:w="4703"/>
          </w:tcPr>
          <w:p>
            <w:pPr>
              <w:spacing w:line="260" w:lineRule="exact" w:after="0"/>
            </w:pPr>
            <w:r/>
            <w:r>
              <w:rPr>
                <w:rFonts w:ascii="Times New Roman" w:hAnsi="Times New Roman"/>
                <w:b/>
                <w:sz w:val="22"/>
              </w:rPr>
              <w:t>Timing</w:t>
            </w:r>
            <w:r>
              <w:rPr>
                <w:rFonts w:ascii="Times New Roman" w:hAnsi="Times New Roman"/>
                <w:b w:val="0"/>
                <w:i w:val="0"/>
                <w:sz w:val="22"/>
              </w:rPr>
              <w:t>, n (%)</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Weekday</w:t>
            </w:r>
          </w:p>
        </w:tc>
        <w:tc>
          <w:tcPr>
            <w:tcW w:type="dxa" w:w="4703"/>
          </w:tcPr>
          <w:p>
            <w:pPr>
              <w:spacing w:line="260" w:lineRule="exact" w:after="0"/>
            </w:pPr>
            <w:r/>
            <w:r>
              <w:rPr>
                <w:rFonts w:ascii="Times New Roman" w:hAnsi="Times New Roman"/>
                <w:b w:val="0"/>
                <w:i w:val="0"/>
                <w:sz w:val="22"/>
              </w:rPr>
              <w:t>76,255 (96.1)</w:t>
            </w:r>
          </w:p>
        </w:tc>
      </w:tr>
      <w:tr>
        <w:tc>
          <w:tcPr>
            <w:tcW w:type="dxa" w:w="4703"/>
          </w:tcPr>
          <w:p>
            <w:pPr>
              <w:spacing w:line="260" w:lineRule="exact" w:after="0"/>
            </w:pPr>
            <w:r/>
            <w:r>
              <w:rPr>
                <w:rFonts w:ascii="Times New Roman" w:hAnsi="Times New Roman"/>
                <w:b w:val="0"/>
                <w:i w:val="0"/>
                <w:sz w:val="22"/>
              </w:rPr>
              <w:t>Weekend</w:t>
            </w:r>
          </w:p>
        </w:tc>
        <w:tc>
          <w:tcPr>
            <w:tcW w:type="dxa" w:w="4703"/>
          </w:tcPr>
          <w:p>
            <w:pPr>
              <w:spacing w:line="260" w:lineRule="exact" w:after="0"/>
            </w:pPr>
            <w:r/>
            <w:r>
              <w:rPr>
                <w:rFonts w:ascii="Times New Roman" w:hAnsi="Times New Roman"/>
                <w:b w:val="0"/>
                <w:i w:val="0"/>
                <w:sz w:val="22"/>
              </w:rPr>
              <w:t>3,097 (3.9)</w:t>
            </w:r>
          </w:p>
        </w:tc>
      </w:tr>
      <w:tr>
        <w:tc>
          <w:tcPr>
            <w:tcW w:type="dxa" w:w="4703"/>
          </w:tcPr>
          <w:p>
            <w:pPr>
              <w:spacing w:line="260" w:lineRule="exact" w:after="0"/>
            </w:pPr>
            <w:r/>
            <w:r>
              <w:rPr>
                <w:rFonts w:ascii="Times New Roman" w:hAnsi="Times New Roman"/>
                <w:b/>
                <w:sz w:val="22"/>
              </w:rPr>
              <w:t>Cases by year</w:t>
            </w:r>
            <w:r>
              <w:rPr>
                <w:rFonts w:ascii="Times New Roman" w:hAnsi="Times New Roman"/>
                <w:b w:val="0"/>
                <w:i w:val="0"/>
                <w:sz w:val="22"/>
              </w:rPr>
              <w:t>, n</w:t>
            </w:r>
          </w:p>
        </w:tc>
        <w:tc>
          <w:tcPr>
            <w:tcW w:type="dxa" w:w="4703"/>
          </w:tcPr>
          <w:p>
            <w:pPr>
              <w:spacing w:line="260" w:lineRule="exact" w:after="0"/>
            </w:pPr>
            <w:r/>
          </w:p>
        </w:tc>
      </w:tr>
      <w:tr>
        <w:tc>
          <w:tcPr>
            <w:tcW w:type="dxa" w:w="4703"/>
          </w:tcPr>
          <w:p>
            <w:pPr>
              <w:spacing w:line="260" w:lineRule="exact" w:after="0"/>
            </w:pPr>
            <w:r/>
            <w:r>
              <w:rPr>
                <w:rFonts w:ascii="Times New Roman" w:hAnsi="Times New Roman"/>
                <w:b w:val="0"/>
                <w:i w:val="0"/>
                <w:sz w:val="22"/>
              </w:rPr>
              <w:t>2022</w:t>
            </w:r>
          </w:p>
        </w:tc>
        <w:tc>
          <w:tcPr>
            <w:tcW w:type="dxa" w:w="4703"/>
          </w:tcPr>
          <w:p>
            <w:pPr>
              <w:spacing w:line="260" w:lineRule="exact" w:after="0"/>
            </w:pPr>
            <w:r/>
            <w:r>
              <w:rPr>
                <w:rFonts w:ascii="Times New Roman" w:hAnsi="Times New Roman"/>
                <w:b w:val="0"/>
                <w:i w:val="0"/>
                <w:sz w:val="22"/>
              </w:rPr>
              <w:t>22,133</w:t>
            </w:r>
          </w:p>
        </w:tc>
      </w:tr>
      <w:tr>
        <w:tc>
          <w:tcPr>
            <w:tcW w:type="dxa" w:w="4703"/>
          </w:tcPr>
          <w:p>
            <w:pPr>
              <w:spacing w:line="260" w:lineRule="exact" w:after="0"/>
            </w:pPr>
            <w:r/>
            <w:r>
              <w:rPr>
                <w:rFonts w:ascii="Times New Roman" w:hAnsi="Times New Roman"/>
                <w:b w:val="0"/>
                <w:i w:val="0"/>
                <w:sz w:val="22"/>
              </w:rPr>
              <w:t>2023</w:t>
            </w:r>
          </w:p>
        </w:tc>
        <w:tc>
          <w:tcPr>
            <w:tcW w:type="dxa" w:w="4703"/>
          </w:tcPr>
          <w:p>
            <w:pPr>
              <w:spacing w:line="260" w:lineRule="exact" w:after="0"/>
            </w:pPr>
            <w:r/>
            <w:r>
              <w:rPr>
                <w:rFonts w:ascii="Times New Roman" w:hAnsi="Times New Roman"/>
                <w:b w:val="0"/>
                <w:i w:val="0"/>
                <w:sz w:val="22"/>
              </w:rPr>
              <w:t>23,575</w:t>
            </w:r>
          </w:p>
        </w:tc>
      </w:tr>
      <w:tr>
        <w:tc>
          <w:tcPr>
            <w:tcW w:type="dxa" w:w="4703"/>
          </w:tcPr>
          <w:p>
            <w:pPr>
              <w:spacing w:line="260" w:lineRule="exact" w:after="0"/>
            </w:pPr>
            <w:r/>
            <w:r>
              <w:rPr>
                <w:rFonts w:ascii="Times New Roman" w:hAnsi="Times New Roman"/>
                <w:b w:val="0"/>
                <w:i w:val="0"/>
                <w:sz w:val="22"/>
              </w:rPr>
              <w:t>2024</w:t>
            </w:r>
          </w:p>
        </w:tc>
        <w:tc>
          <w:tcPr>
            <w:tcW w:type="dxa" w:w="4703"/>
          </w:tcPr>
          <w:p>
            <w:pPr>
              <w:spacing w:line="260" w:lineRule="exact" w:after="0"/>
            </w:pPr>
            <w:r/>
            <w:r>
              <w:rPr>
                <w:rFonts w:ascii="Times New Roman" w:hAnsi="Times New Roman"/>
                <w:b w:val="0"/>
                <w:i w:val="0"/>
                <w:sz w:val="22"/>
              </w:rPr>
              <w:t>23,738</w:t>
            </w:r>
          </w:p>
        </w:tc>
      </w:tr>
      <w:tr>
        <w:tc>
          <w:tcPr>
            <w:tcW w:type="dxa" w:w="4703"/>
          </w:tcPr>
          <w:p>
            <w:pPr>
              <w:spacing w:line="260" w:lineRule="exact" w:after="0"/>
            </w:pPr>
            <w:r/>
            <w:r>
              <w:rPr>
                <w:rFonts w:ascii="Times New Roman" w:hAnsi="Times New Roman"/>
                <w:b w:val="0"/>
                <w:i w:val="0"/>
                <w:sz w:val="22"/>
              </w:rPr>
              <w:t>2025*</w:t>
            </w:r>
          </w:p>
        </w:tc>
        <w:tc>
          <w:tcPr>
            <w:tcW w:type="dxa" w:w="4703"/>
          </w:tcPr>
          <w:p>
            <w:pPr>
              <w:spacing w:line="260" w:lineRule="exact" w:after="0"/>
            </w:pPr>
            <w:r/>
            <w:r>
              <w:rPr>
                <w:rFonts w:ascii="Times New Roman" w:hAnsi="Times New Roman"/>
                <w:b w:val="0"/>
                <w:i w:val="0"/>
                <w:sz w:val="22"/>
              </w:rPr>
              <w:t>9,906</w:t>
            </w:r>
          </w:p>
        </w:tc>
      </w:tr>
    </w:tbl>
    <w:p>
      <w:pPr>
        <w:spacing w:line="120" w:lineRule="exact"/>
      </w:pP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(P95) was 197 minutes (Table 2A). Weekday rates were similar (8.8 to 9.9%) but roughly 1.7 times higher on weekends (Saturday 16.8%, Sunday 15.5%), when the elective programme does not run and volume is almost entirely urgent surgery. The overtime rate declined gradually over the study period: 10.0% in 2022, 10.0% in 2023, 9.7% in 2024, and 8.6% in the first five months of 2025 (Table 2B).</w:t>
      </w:r>
    </w:p>
    <w:p>
      <w:pPr>
        <w:spacing w:after="120" w:before="0" w:line="480" w:lineRule="exact"/>
        <w:jc w:val="left"/>
      </w:pPr>
      <w:r>
        <w:rPr>
          <w:rFonts w:ascii="Times New Roman" w:hAnsi="Times New Roman"/>
          <w:b/>
          <w:sz w:val="24"/>
        </w:rPr>
        <w:t>Table 2A. Overtime by weekday.</w:t>
      </w:r>
      <w:r>
        <w:rPr>
          <w:rFonts w:ascii="Times New Roman" w:hAnsi="Times New Roman"/>
          <w:b w:val="0"/>
          <w:i w:val="0"/>
          <w:sz w:val="24"/>
        </w:rPr>
        <w:t xml:space="preserve"> (OT, overtime; rates and means among overtime cases.)</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2B. Overtime trend by year.</w:t>
      </w:r>
      <w:r>
        <w:rPr>
          <w:rFonts w:ascii="Times New Roman" w:hAnsi="Times New Roman"/>
          <w:b w:val="0"/>
          <w:i w:val="0"/>
          <w:sz w:val="24"/>
        </w:rPr>
        <w:t xml:space="preserve"> (OT, overtime;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(coronary artery bypass grafting,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spanned nearly an order of magnitude within a single hospital.</w:t>
      </w:r>
    </w:p>
    <w:p>
      <w:pPr>
        <w:spacing w:before="120" w:after="120"/>
        <w:jc w:val="center"/>
      </w:pPr>
      <w:r>
        <w:drawing>
          <wp:inline xmlns:a="http://schemas.openxmlformats.org/drawingml/2006/main" xmlns:pic="http://schemas.openxmlformats.org/drawingml/2006/picture">
            <wp:extent cx="5486400" cy="3681844"/>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486400" cy="3681844"/>
                    </a:xfrm>
                    <a:prstGeom prst="rect"/>
                  </pic:spPr>
                </pic:pic>
              </a:graphicData>
            </a:graphic>
          </wp:inline>
        </w:drawing>
      </w:r>
    </w:p>
    <w:p>
      <w:pPr>
        <w:spacing w:after="120" w:before="0" w:line="480" w:lineRule="exact"/>
        <w:jc w:val="left"/>
      </w:pPr>
      <w:r>
        <w:rPr>
          <w:rFonts w:ascii="Times New Roman" w:hAnsi="Times New Roman"/>
          <w:b w:val="0"/>
          <w:i w:val="0"/>
          <w:sz w:val="24"/>
        </w:rPr>
        <w:t>Most overtime cases ended shortly after the shift boundary. More than half of overtime completions fell in the 16:30 to 17:30 window, immediately after the day-shift handover.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similar in both size and frequency, so the planning system showed no systematic bias: bookings were not consistently too tight or too generous, and no fixed padding factor would correct the schedule. The problem was variability. Two cases booked for the same duration could finish well apart, and that spread, rather than a tendency to under-book, is what pushes a list past its boundary.</w:t>
      </w:r>
    </w:p>
    <w:p>
      <w:pPr>
        <w:spacing w:after="120" w:before="0" w:line="480" w:lineRule="exact"/>
        <w:jc w:val="left"/>
      </w:pPr>
      <w:r>
        <w:rPr>
          <w:rFonts w:ascii="Times New Roman" w:hAnsi="Times New Roman"/>
          <w:b w:val="0"/>
          <w:i w:val="0"/>
          <w:sz w:val="24"/>
        </w:rPr>
        <w:t>We measured this spread with the coefficient of variation (CV), the standard deviation of duration divided by its mean, which places cases of different lengths on a comparable scale. Observed-duration CV was highest for short cases (0.54 for procedures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and ran past the shift boundary at more than twice the elective rate (18.2% versus 8.3%, Table 3A), with heavier tails (P95: 69 versus 29 minutes). Because elective cases outnumbered urgent cases nearly six to one, the absolute volume of overtime minutes was still dominated by the elective programme.</w:t>
      </w:r>
    </w:p>
    <w:p>
      <w:pPr>
        <w:spacing w:after="120" w:before="0" w:line="480" w:lineRule="exact"/>
        <w:jc w:val="left"/>
      </w:pPr>
      <w:r>
        <w:rPr>
          <w:rFonts w:ascii="Times New Roman" w:hAnsi="Times New Roman"/>
          <w:b w:val="0"/>
          <w:i w:val="0"/>
          <w:sz w:val="24"/>
        </w:rPr>
        <w:t>To assess whether urgent cases disrupt the elective programme, we flagged elective cases whose planned room and time window were occupied by an urgent case. Such overlap occurred on 858 of 1,247 observation days (68.8%, Table 3B). Elective cases affected by an overlap started later than unaffected elective cases: at OR11, the emergency-designated room that absorbed the highest overlap burden (475 events, 15.2% of its elective cases), the median start delay was 60 minutes with overlap versus 28 minutes without. In monthly terms, mean start delays for overlapped elective cases exceeded 70 minutes in early 2022, against roughly 30 minutes for unaffected cases, and the gap narrowed over the study period.</w:t>
      </w:r>
    </w:p>
    <w:p>
      <w:pPr>
        <w:spacing w:after="120" w:before="0" w:line="480" w:lineRule="exact"/>
        <w:jc w:val="left"/>
      </w:pPr>
      <w:r>
        <w:rPr>
          <w:rFonts w:ascii="Times New Roman" w:hAnsi="Times New Roman"/>
          <w:b/>
          <w:sz w:val="24"/>
        </w:rPr>
        <w:t>Table 3A.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Overtime n</w:t>
            </w:r>
          </w:p>
        </w:tc>
        <w:tc>
          <w:tcPr>
            <w:tcW w:type="dxa" w:w="1344"/>
          </w:tcPr>
          <w:p>
            <w:pPr>
              <w:spacing w:line="260" w:lineRule="exact" w:after="0"/>
            </w:pPr>
            <w:r/>
            <w:r>
              <w:rPr>
                <w:rFonts w:ascii="Times New Roman" w:hAnsi="Times New Roman"/>
                <w:b/>
                <w:i w:val="0"/>
                <w:sz w:val="22"/>
              </w:rPr>
              <w:t>Overtime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5.0</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 (urgent)</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i/>
          <w:sz w:val="24"/>
        </w:rPr>
        <w:t>OT, overtime. Mean and P95 overtime in this table are computed across all cases in each row, including cases without overtime; Table 2 reports means among overtime cases only.</w:t>
      </w:r>
    </w:p>
    <w:p>
      <w:pPr>
        <w:spacing w:after="120" w:before="0" w:line="480" w:lineRule="exact"/>
        <w:jc w:val="left"/>
      </w:pPr>
      <w:r>
        <w:rPr>
          <w:rFonts w:ascii="Times New Roman" w:hAnsi="Times New Roman"/>
          <w:b/>
          <w:sz w:val="24"/>
        </w:rPr>
        <w:t>Table 3B.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Start-time punctuality.</w:t>
      </w:r>
      <w:r>
        <w:rPr>
          <w:rFonts w:ascii="Times New Roman" w:hAnsi="Times New Roman"/>
          <w:b w:val="0"/>
          <w:i w:val="0"/>
          <w:sz w:val="24"/>
        </w:rPr>
        <w:t xml:space="preserve"> A common assumption is that punctual starts, and the first case of the day in particular (first-case-on-time-start, FCOTS), protect the end of the list. Across all cases and rooms, 67.4% started later than planned, with a mean delay of 74.6 minutes and a median of 28 minutes among late cases. We tested a broad version of this hypothesis by correlating each room's late-start rate, computed across all scheduled cases rather than first cases alone, with its overtime rate. The two were not associated (Spearman rho = −0.29, p = 0.24), and the direction was, if anything, negative. OR10 had the lowest late-start rate of all 18 rooms (46.1%) but the highest overtime rate (32.9%), while OR14 started late more often (78.7%) yet ran the least overtime (3.5%). Start-time punctuality therefore did not track where overtime accumulated.</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(the gap between one case's room-out and the next case's room-in, akin to turnover time</w:t>
      </w:r>
      <w:r>
        <w:rPr>
          <w:rFonts w:ascii="Times New Roman" w:hAnsi="Times New Roman"/>
          <w:sz w:val="24"/>
          <w:vertAlign w:val="superscript"/>
        </w:rPr>
        <w:t>23</w:t>
      </w:r>
      <w:r>
        <w:rPr>
          <w:rFonts w:ascii="Times New Roman" w:hAnsi="Times New Roman"/>
          <w:b w:val="0"/>
          <w:i w:val="0"/>
          <w:sz w:val="24"/>
        </w:rPr>
        <w:t>) had a median of 8 minutes and a mean of 9.9 minutes. At the room level, mean idle time was positively correlated with overtime rate (Spearman rho = 0.91, p &lt; 0.001), and the association was not an artefact of the extreme room: it persisted when OR10, which had both the highest mean idle time (22.6 minutes) and the highest overtime rate (32.9%), was excluded (rho = 0.90, p &lt; 0.001). Rooms with longer gaps between cases therefore also ran more overtime. Both are plausibly markers of case-mix complexity, since complex procedures require longer preparation between cases as well as longer operating times; these cross-sectional correlations cannot separate that account from a turnover effect.</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single-centre analysis of 79,352 cases, overtime was not a diffuse hospital-wide phenomenon. The aggregate rate (9.7%) hid a near ten-fold spread across rooms (3.5 to 32.9%). The factors most visibly associated with the room-level pattern were case-mix complexity, routine urgent-elective overlap, and longer inter-case gaps; start-time punctuality was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but the distribution behind it is uneven: OR10 ran overtime in roughly one of every three cases, while OR14 ran 3.5%. A hospital-wide target such as "reduce overtime by 10%" will not reach the problem unless it is decomposed by room. Zhang, Dunstan and Pandit reached a similar conclusion about NHS England's capped-utilisation target, which discards operating time that runs past the scheduled finish and so misrepresents what individual theatres actually deliver.</w:t>
      </w:r>
      <w:r>
        <w:rPr>
          <w:rFonts w:ascii="Times New Roman" w:hAnsi="Times New Roman"/>
          <w:sz w:val="24"/>
          <w:vertAlign w:val="superscript"/>
        </w:rPr>
        <w:t>16</w:t>
      </w:r>
      <w:r>
        <w:rPr>
          <w:rFonts w:ascii="Times New Roman" w:hAnsi="Times New Roman"/>
          <w:b w:val="0"/>
          <w:i w:val="0"/>
          <w:sz w:val="24"/>
        </w:rPr>
        <w:t xml:space="preserve"> Charlesworth and Pandit showed more broadly that standard theatre metrics, including start-time compliance and utilisation, are unreliable in isolation because they ignore list composition and scheduling uncertainty.</w:t>
      </w:r>
      <w:r>
        <w:rPr>
          <w:rFonts w:ascii="Times New Roman" w:hAnsi="Times New Roman"/>
          <w:sz w:val="24"/>
          <w:vertAlign w:val="superscript"/>
        </w:rPr>
        <w:t>24</w:t>
      </w:r>
      <w:r>
        <w:rPr>
          <w:rFonts w:ascii="Times New Roman" w:hAnsi="Times New Roman"/>
          <w:b w:val="0"/>
          <w:i w:val="0"/>
          <w:sz w:val="24"/>
        </w:rPr>
        <w:t xml:space="preserve"> Quality improvement work needs metrics that are valid at the level where decisions are made.</w:t>
      </w:r>
      <w:r>
        <w:rPr>
          <w:rFonts w:ascii="Times New Roman" w:hAnsi="Times New Roman"/>
          <w:sz w:val="24"/>
          <w:vertAlign w:val="superscript"/>
        </w:rPr>
        <w:t>25</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Because the procedures with the largest planning deviations and longest planned durations were concentrated in the highest-overtime rooms, case-mix complexity rather than scheduling inefficiency alone most likely accounts for much of the room-level variation. Using a large operational dataset, Wachtel and Dexter showed that tardiness per case grows through the day as the scheduled time preceding each case accumulates,</w:t>
      </w:r>
      <w:r>
        <w:rPr>
          <w:rFonts w:ascii="Times New Roman" w:hAnsi="Times New Roman"/>
          <w:sz w:val="24"/>
          <w:vertAlign w:val="superscript"/>
        </w:rPr>
        <w:t>26</w:t>
      </w:r>
      <w:r>
        <w:rPr>
          <w:rFonts w:ascii="Times New Roman" w:hAnsi="Times New Roman"/>
          <w:b w:val="0"/>
          <w:i w:val="0"/>
          <w:sz w:val="24"/>
        </w:rPr>
        <w:t xml:space="preserve"> and Fügener et al. documented systematic biases in surgeons' duration estimates under uncertainty.</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later elective starts (at the emergency-designated room OR11, a median of 60 versus 28 minutes), making urgent arrivals a routine scheduling factor rather than an exception. The hospital already operates dedicated rooms for urgent cases, yet overlap persists, so protecting the elective programme may require additional scheduling buffers or capacity reallocation rather than reactive rescheduling alone. Parmar et al. proposed a graphical method for identifying when emergency capacity is insufficient from the pattern of delays and utilisation, which could inform such decisions.</w:t>
      </w:r>
      <w:r>
        <w:rPr>
          <w:rFonts w:ascii="Times New Roman" w:hAnsi="Times New Roman"/>
          <w:sz w:val="24"/>
          <w:vertAlign w:val="superscript"/>
        </w:rPr>
        <w:t>28</w:t>
      </w:r>
    </w:p>
    <w:p>
      <w:pPr>
        <w:spacing w:after="120" w:before="0" w:line="480" w:lineRule="exact"/>
        <w:jc w:val="left"/>
      </w:pPr>
      <w:r>
        <w:rPr>
          <w:rFonts w:ascii="Times New Roman" w:hAnsi="Times New Roman"/>
          <w:b w:val="0"/>
          <w:i w:val="0"/>
          <w:sz w:val="24"/>
        </w:rPr>
        <w:t>The absence of a link between per-room punctuality and overtime runs against the assumption that first-case-on-time-start (FCOTS) drives end-of-day performance, with each minute of tardiness carrying a marginal cost.</w:t>
      </w:r>
      <w:r>
        <w:rPr>
          <w:rFonts w:ascii="Times New Roman" w:hAnsi="Times New Roman"/>
          <w:sz w:val="24"/>
          <w:vertAlign w:val="superscript"/>
        </w:rPr>
        <w:t>29</w:t>
      </w:r>
      <w:r>
        <w:rPr>
          <w:rFonts w:ascii="Times New Roman" w:hAnsi="Times New Roman"/>
          <w:b w:val="0"/>
          <w:i w:val="0"/>
          <w:sz w:val="24"/>
        </w:rPr>
        <w:t xml:space="preserve"> Pandit et al. found the same disconnect across more than 7,000 operating lists, where start time explained only 4 to 8% of the variance in finish time.</w:t>
      </w:r>
      <w:r>
        <w:rPr>
          <w:rFonts w:ascii="Times New Roman" w:hAnsi="Times New Roman"/>
          <w:sz w:val="24"/>
          <w:vertAlign w:val="superscript"/>
        </w:rPr>
        <w:t>30</w:t>
      </w:r>
      <w:r>
        <w:rPr>
          <w:rFonts w:ascii="Times New Roman" w:hAnsi="Times New Roman"/>
          <w:b w:val="0"/>
          <w:i w:val="0"/>
          <w:sz w:val="24"/>
        </w:rPr>
        <w:t xml:space="preserve"> We do not conclude that FCOTS is unimportant; it remains a reasonable marker of scheduling discipline. In this hospital,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because an intervention aimed at the average will miss the rooms that generate most of the overtime. For the highest-overtime rooms, where long complex cases dominate, scheduling systems could assign wider duration margins to procedures with high expected variability rather than applying a uniform padding factor. Urgent-case flow belongs in the schedule itself: given how often urgent and elective work collide, dedicating additional capacity or buffering the elective programme against predictable disruption is more realistic than reactive rescheduling. Start-time compliance, while reasonable to pursue on other grounds, should not be expected to reduce overtime.</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produces the same exposure that other studies have linked to staff fatigue, higher after-hours mortality, and increased complication risk.</w:t>
      </w:r>
      <w:r>
        <w:rPr>
          <w:rFonts w:ascii="Times New Roman" w:hAnsi="Times New Roman"/>
          <w:sz w:val="24"/>
          <w:vertAlign w:val="superscript"/>
        </w:rPr>
        <w:t>2,4–7,9–15</w:t>
      </w:r>
      <w:r>
        <w:rPr>
          <w:rFonts w:ascii="Times New Roman" w:hAnsi="Times New Roman"/>
          <w:b w:val="0"/>
          <w:i w:val="0"/>
          <w:sz w:val="24"/>
        </w:rPr>
        <w:t xml:space="preserve"> Whether those harms are present at this hospital cannot be determined from administrative data alone. Linking room-level overtime to patient and staff outcomes is a necessary next step.</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across hospitals with different staffing models is unknown.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studies whose effect sizes vary widely (adjusted odds ratios of 1.16</w:t>
      </w:r>
      <w:r>
        <w:rPr>
          <w:rFonts w:ascii="Times New Roman" w:hAnsi="Times New Roman"/>
          <w:sz w:val="24"/>
          <w:vertAlign w:val="superscript"/>
        </w:rPr>
        <w:t>4</w:t>
      </w:r>
      <w:r>
        <w:rPr>
          <w:rFonts w:ascii="Times New Roman" w:hAnsi="Times New Roman"/>
          <w:b w:val="0"/>
          <w:i w:val="0"/>
          <w:sz w:val="24"/>
        </w:rPr>
        <w:t xml:space="preserve"> to 3.58</w:t>
      </w:r>
      <w:r>
        <w:rPr>
          <w:rFonts w:ascii="Times New Roman" w:hAnsi="Times New Roman"/>
          <w:sz w:val="24"/>
          <w:vertAlign w:val="superscript"/>
        </w:rPr>
        <w:t>5</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6</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was concentrated in a small number of rooms. Case-mix complexity, unplanned urgent-case disruption of the elective programme, and longer inter-case gaps were the most visibly associated factors; start-time punctuality was not.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Bauer M, Auhuber TC, Kraus R, et al. The German perioperative procedural time glossary: a joint recommendation by the BDA, BDC, VOPM, VOPMÖ, ÖGARI and SFOPM (2020 edition). </w:t>
      </w:r>
      <w:r>
        <w:rPr>
          <w:rFonts w:ascii="Times New Roman" w:hAnsi="Times New Roman"/>
          <w:i/>
          <w:sz w:val="24"/>
        </w:rPr>
        <w:t>Anästh Intensivmed</w:t>
      </w:r>
      <w:r>
        <w:rPr>
          <w:rFonts w:ascii="Times New Roman" w:hAnsi="Times New Roman"/>
          <w:b w:val="0"/>
          <w:i w:val="0"/>
          <w:sz w:val="24"/>
        </w:rPr>
        <w:t xml:space="preserve"> 2020;61:516-31. DOI: 10.19224/ai2020.516.</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2010;110(6):1698-710.</w:t>
      </w:r>
    </w:p>
    <w:p>
      <w:pPr>
        <w:spacing w:after="60" w:before="0" w:line="480" w:lineRule="exact"/>
        <w:jc w:val="left"/>
      </w:pPr>
      <w:r>
        <w:rPr>
          <w:rFonts w:ascii="Times New Roman" w:hAnsi="Times New Roman"/>
          <w:b w:val="0"/>
          <w:i w:val="0"/>
          <w:sz w:val="24"/>
        </w:rPr>
        <w:t xml:space="preserve">4.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5.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2025;80(6):645-51. DOI: 10.1111/anae.16559.</w:t>
      </w:r>
    </w:p>
    <w:p>
      <w:pPr>
        <w:spacing w:after="60" w:before="0" w:line="480" w:lineRule="exact"/>
        <w:jc w:val="left"/>
      </w:pPr>
      <w:r>
        <w:rPr>
          <w:rFonts w:ascii="Times New Roman" w:hAnsi="Times New Roman"/>
          <w:b w:val="0"/>
          <w:i w:val="0"/>
          <w:sz w:val="24"/>
        </w:rPr>
        <w:t xml:space="preserve">6. Sakurai K, Takeda C.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2025;80(5):596-7. DOI: 10.1111/anae.16591.</w:t>
      </w:r>
    </w:p>
    <w:p>
      <w:pPr>
        <w:spacing w:after="60" w:before="0" w:line="480" w:lineRule="exact"/>
        <w:jc w:val="left"/>
      </w:pPr>
      <w:r>
        <w:rPr>
          <w:rFonts w:ascii="Times New Roman" w:hAnsi="Times New Roman"/>
          <w:b w:val="0"/>
          <w:i w:val="0"/>
          <w:sz w:val="24"/>
        </w:rPr>
        <w:t xml:space="preserve">7.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2021;30(8):678-88.</w:t>
      </w:r>
    </w:p>
    <w:p>
      <w:pPr>
        <w:spacing w:after="60" w:before="0" w:line="480" w:lineRule="exact"/>
        <w:jc w:val="left"/>
      </w:pPr>
      <w:r>
        <w:rPr>
          <w:rFonts w:ascii="Times New Roman" w:hAnsi="Times New Roman"/>
          <w:b w:val="0"/>
          <w:i w:val="0"/>
          <w:sz w:val="24"/>
        </w:rPr>
        <w:t xml:space="preserve">8. Meewisse AJG, Gribnau A, Thiessen SE, et al. Effect of time of day on outcomes in elective surgery: a systematic review. </w:t>
      </w:r>
      <w:r>
        <w:rPr>
          <w:rFonts w:ascii="Times New Roman" w:hAnsi="Times New Roman"/>
          <w:i/>
          <w:sz w:val="24"/>
        </w:rPr>
        <w:t>Anaesthesia</w:t>
      </w:r>
      <w:r>
        <w:rPr>
          <w:rFonts w:ascii="Times New Roman" w:hAnsi="Times New Roman"/>
          <w:b w:val="0"/>
          <w:i w:val="0"/>
          <w:sz w:val="24"/>
        </w:rPr>
        <w:t xml:space="preserve"> 2024;79(12):1325-34. DOI: 10.1111/anae.16395.</w:t>
      </w:r>
    </w:p>
    <w:p>
      <w:pPr>
        <w:spacing w:after="60" w:before="0" w:line="480" w:lineRule="exact"/>
        <w:jc w:val="left"/>
      </w:pPr>
      <w:r>
        <w:rPr>
          <w:rFonts w:ascii="Times New Roman" w:hAnsi="Times New Roman"/>
          <w:b w:val="0"/>
          <w:i w:val="0"/>
          <w:sz w:val="24"/>
        </w:rPr>
        <w:t xml:space="preserve">9.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10.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11. Pittman P, Tiunn HL, Luo Q,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2025;8(4):e252875. PMID: 40172888.</w:t>
      </w:r>
    </w:p>
    <w:p>
      <w:pPr>
        <w:spacing w:after="60" w:before="0" w:line="480" w:lineRule="exact"/>
        <w:jc w:val="left"/>
      </w:pPr>
      <w:r>
        <w:rPr>
          <w:rFonts w:ascii="Times New Roman" w:hAnsi="Times New Roman"/>
          <w:b w:val="0"/>
          <w:i w:val="0"/>
          <w:sz w:val="24"/>
        </w:rPr>
        <w:t xml:space="preserve">12.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13.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14.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15.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2020;29(12):1033-45.</w:t>
      </w:r>
    </w:p>
    <w:p>
      <w:pPr>
        <w:spacing w:after="60" w:before="0" w:line="480" w:lineRule="exact"/>
        <w:jc w:val="left"/>
      </w:pPr>
      <w:r>
        <w:rPr>
          <w:rFonts w:ascii="Times New Roman" w:hAnsi="Times New Roman"/>
          <w:b w:val="0"/>
          <w:i w:val="0"/>
          <w:sz w:val="24"/>
        </w:rPr>
        <w:t xml:space="preserve">19.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20. Schouten AM,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21.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22. Eijkemans MJ, van Houdenhoven M, Nguyen T, et al. Predicting the unpredictable: a new prediction model for operating room times using individual characteristics and the surgeon's estimate.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23. MacMillan L, Madura GM, Elliot M,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2025;181:109263. PMID: 40054053.</w:t>
      </w:r>
    </w:p>
    <w:p>
      <w:pPr>
        <w:spacing w:after="60" w:before="0" w:line="480" w:lineRule="exact"/>
        <w:jc w:val="left"/>
      </w:pPr>
      <w:r>
        <w:rPr>
          <w:rFonts w:ascii="Times New Roman" w:hAnsi="Times New Roman"/>
          <w:b w:val="0"/>
          <w:i w:val="0"/>
          <w:sz w:val="24"/>
        </w:rPr>
        <w:t xml:space="preserve">24. Charlesworth M, Pandit JJ. Rational performance metrics for operating theatres, principles of efficiency, and how to achieve it. </w:t>
      </w:r>
      <w:r>
        <w:rPr>
          <w:rFonts w:ascii="Times New Roman" w:hAnsi="Times New Roman"/>
          <w:i/>
          <w:sz w:val="24"/>
        </w:rPr>
        <w:t>Br J Surg</w:t>
      </w:r>
      <w:r>
        <w:rPr>
          <w:rFonts w:ascii="Times New Roman" w:hAnsi="Times New Roman"/>
          <w:b w:val="0"/>
          <w:i w:val="0"/>
          <w:sz w:val="24"/>
        </w:rPr>
        <w:t xml:space="preserve"> 2020;107(2):e63-9. PMID: 31903597.</w:t>
      </w:r>
    </w:p>
    <w:p>
      <w:pPr>
        <w:spacing w:after="60" w:before="0" w:line="480" w:lineRule="exact"/>
        <w:jc w:val="left"/>
      </w:pPr>
      <w:r>
        <w:rPr>
          <w:rFonts w:ascii="Times New Roman" w:hAnsi="Times New Roman"/>
          <w:b w:val="0"/>
          <w:i w:val="0"/>
          <w:sz w:val="24"/>
        </w:rPr>
        <w:t xml:space="preserve">25.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2009;108(6):1889-901.</w:t>
      </w:r>
    </w:p>
    <w:p>
      <w:pPr>
        <w:spacing w:after="60" w:before="0" w:line="480" w:lineRule="exact"/>
        <w:jc w:val="left"/>
      </w:pPr>
      <w:r>
        <w:rPr>
          <w:rFonts w:ascii="Times New Roman" w:hAnsi="Times New Roman"/>
          <w:b w:val="0"/>
          <w:i w:val="0"/>
          <w:sz w:val="24"/>
        </w:rPr>
        <w:t xml:space="preserve">27. Fügener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after="60" w:before="0" w:line="480" w:lineRule="exact"/>
        <w:jc w:val="left"/>
      </w:pPr>
      <w:r>
        <w:rPr>
          <w:rFonts w:ascii="Times New Roman" w:hAnsi="Times New Roman"/>
          <w:b w:val="0"/>
          <w:i w:val="0"/>
          <w:sz w:val="24"/>
        </w:rPr>
        <w:t xml:space="preserve">28. Parmar D, Woodman M, Pandit JJ. A graphical assessment of emergency surgical list efficiency to determine operating theatre capacity needs. </w:t>
      </w:r>
      <w:r>
        <w:rPr>
          <w:rFonts w:ascii="Times New Roman" w:hAnsi="Times New Roman"/>
          <w:i/>
          <w:sz w:val="24"/>
        </w:rPr>
        <w:t>Br J Anaesth</w:t>
      </w:r>
      <w:r>
        <w:rPr>
          <w:rFonts w:ascii="Times New Roman" w:hAnsi="Times New Roman"/>
          <w:b w:val="0"/>
          <w:i w:val="0"/>
          <w:sz w:val="24"/>
        </w:rPr>
        <w:t xml:space="preserve"> 2022;128(3):574-83. PMID: 34865827.</w:t>
      </w:r>
    </w:p>
    <w:p>
      <w:pPr>
        <w:spacing w:after="60" w:before="0" w:line="480" w:lineRule="exact"/>
        <w:jc w:val="left"/>
      </w:pPr>
      <w:r>
        <w:rPr>
          <w:rFonts w:ascii="Times New Roman" w:hAnsi="Times New Roman"/>
          <w:b w:val="0"/>
          <w:i w:val="0"/>
          <w:sz w:val="24"/>
        </w:rPr>
        <w:t xml:space="preserve">29.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30.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ranked from lowest to highest. Panel B: mean overtime duration per room (minutes), with the hospital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FIGURES</w:t>
      </w:r>
    </w:p>
    <w:p>
      <w:pPr>
        <w:spacing w:after="120" w:before="0" w:line="480" w:lineRule="exact"/>
        <w:jc w:val="left"/>
      </w:pPr>
      <w:r>
        <w:rPr>
          <w:rFonts w:ascii="Times New Roman" w:hAnsi="Times New Roman"/>
          <w:b/>
          <w:sz w:val="24"/>
        </w:rPr>
        <w:t>Supplementary Figure S1.</w:t>
      </w:r>
      <w:r>
        <w:rPr>
          <w:rFonts w:ascii="Times New Roman" w:hAnsi="Times New Roman"/>
          <w:b w:val="0"/>
          <w:i w:val="0"/>
          <w:sz w:val="24"/>
        </w:rPr>
        <w:t xml:space="preserve"> Timing of overtime case completions. Distribution of room-out times for the 7,729 overtime cases. More than half of completions fall in the 16:30 to 17:30 window immediately after the day-shift handover, with a long tail decaying through the evening and overnight.</w:t>
      </w:r>
    </w:p>
    <w:p>
      <w:pPr>
        <w:spacing w:before="120" w:after="120"/>
        <w:jc w:val="center"/>
      </w:pPr>
      <w:r>
        <w:drawing>
          <wp:inline xmlns:a="http://schemas.openxmlformats.org/drawingml/2006/main" xmlns:pic="http://schemas.openxmlformats.org/drawingml/2006/picture">
            <wp:extent cx="5486400" cy="2708476"/>
            <wp:docPr id="2" name="Picture 2"/>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5486400" cy="2708476"/>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