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 duration overruns, shift displacement, urgent-elective interaction, and first-case punctuality —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ran 22.3 minutes shorter than planned. We report these figures descriptively; the data do not let us determine whether displacement was a cause of, or a response to, delays elsewhere in the day.</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The within-hospital spread was wider than the spread across the hospital network as a whole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 through dedicated urgent rooms or scheduling buffers —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 it remains a reasonable discipline marker — but in this dataset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multicenter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operating room efficiency”? Anesthesia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