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pPr>
      <w:r>
        <w:rPr>
          <w:rFonts w:ascii="Times New Roman" w:hAnsi="Times New Roman"/>
          <w:b/>
          <w:sz w:val="28"/>
        </w:rPr>
        <w:t>Where does operating-room overtime come from? A retrospective single-center study</w:t>
      </w:r>
    </w:p>
    <w:p>
      <w:pPr>
        <w:spacing w:after="120" w:before="0" w:line="480" w:lineRule="exact"/>
        <w:jc w:val="left"/>
      </w:pPr>
      <w:r>
        <w:rPr>
          <w:rFonts w:ascii="Times New Roman" w:hAnsi="Times New Roman"/>
          <w:b w:val="0"/>
          <w:i w:val="0"/>
          <w:sz w:val="24"/>
        </w:rPr>
        <w:t>Maxim Riebus, Haroon Tharwat, Niels Martin, Ben Van Bylen, and Dieter Mesotten</w:t>
      </w:r>
    </w:p>
    <w:p>
      <w:pPr>
        <w:spacing w:after="120" w:before="120" w:line="480" w:lineRule="exact"/>
        <w:jc w:val="left"/>
      </w:pPr>
      <w:r>
        <w:rPr>
          <w:rFonts w:ascii="Times New Roman" w:hAnsi="Times New Roman"/>
          <w:b w:val="0"/>
          <w:i/>
          <w:sz w:val="24"/>
        </w:rPr>
        <w:t>[Affiliations to be completed]</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[corresponding author details]</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~2,900 (body text; target journal allows up to 4,000 for original research)</w:t>
      </w:r>
    </w:p>
    <w:p>
      <w:pPr>
        <w:spacing w:after="12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20" w:after="120" w:line="480" w:lineRule="exact"/>
        <w:jc w:val="left"/>
      </w:pPr>
      <w:r>
        <w:rPr>
          <w:rFonts w:ascii="Times New Roman" w:hAnsi="Times New Roman"/>
          <w:b/>
          <w:sz w:val="24"/>
        </w:rPr>
        <w:t>ABSTRACT</w:t>
      </w:r>
    </w:p>
    <w:p>
      <w:pPr>
        <w:spacing w:after="120" w:before="0" w:line="480" w:lineRule="exact"/>
        <w:jc w:val="left"/>
      </w:pPr>
      <w:r>
        <w:rPr>
          <w:rFonts w:ascii="Times New Roman" w:hAnsi="Times New Roman"/>
          <w:b/>
          <w:sz w:val="24"/>
        </w:rPr>
        <w:t>Background.</w:t>
      </w:r>
      <w:r>
        <w:rPr>
          <w:rFonts w:ascii="Times New Roman" w:hAnsi="Times New Roman"/>
          <w:b w:val="0"/>
          <w:i w:val="0"/>
          <w:sz w:val="24"/>
        </w:rPr>
        <w:t xml:space="preserve"> Operating-room overtime is associated with elevated patient mortality, staff fatigue, and disproportionate costs. Most studies report overtime as a hospital-wide aggregate, which can obscure where the problem concentrates and misdirect quality improvement efforts.</w:t>
      </w:r>
    </w:p>
    <w:p>
      <w:pPr>
        <w:spacing w:after="120" w:before="0" w:line="480" w:lineRule="exact"/>
        <w:jc w:val="left"/>
      </w:pPr>
      <w:r>
        <w:rPr>
          <w:rFonts w:ascii="Times New Roman" w:hAnsi="Times New Roman"/>
          <w:b/>
          <w:sz w:val="24"/>
        </w:rPr>
        <w:t>Objective.</w:t>
      </w:r>
      <w:r>
        <w:rPr>
          <w:rFonts w:ascii="Times New Roman" w:hAnsi="Times New Roman"/>
          <w:b w:val="0"/>
          <w:i w:val="0"/>
          <w:sz w:val="24"/>
        </w:rPr>
        <w:t xml:space="preserve"> To characterize operating-room overtime within a high-volume tertiary hospital: its distribution across rooms and the operational factors associated with it.</w:t>
      </w:r>
    </w:p>
    <w:p>
      <w:pPr>
        <w:spacing w:after="120" w:before="0" w:line="480" w:lineRule="exact"/>
        <w:jc w:val="left"/>
      </w:pPr>
      <w:r>
        <w:rPr>
          <w:rFonts w:ascii="Times New Roman" w:hAnsi="Times New Roman"/>
          <w:b/>
          <w:sz w:val="24"/>
        </w:rPr>
        <w:t>Design and setting.</w:t>
      </w:r>
      <w:r>
        <w:rPr>
          <w:rFonts w:ascii="Times New Roman" w:hAnsi="Times New Roman"/>
          <w:b w:val="0"/>
          <w:i w:val="0"/>
          <w:sz w:val="24"/>
        </w:rPr>
        <w:t xml:space="preserve"> Retrospective observational study of administrative operating-room data at a 24/7 tertiary hospital in Belgium operating 18 surgical operating rooms.</w:t>
      </w:r>
    </w:p>
    <w:p>
      <w:pPr>
        <w:spacing w:after="120" w:before="0" w:line="480" w:lineRule="exact"/>
        <w:jc w:val="left"/>
      </w:pPr>
      <w:r>
        <w:rPr>
          <w:rFonts w:ascii="Times New Roman" w:hAnsi="Times New Roman"/>
          <w:b/>
          <w:sz w:val="24"/>
        </w:rPr>
        <w:t>Participants.</w:t>
      </w:r>
      <w:r>
        <w:rPr>
          <w:rFonts w:ascii="Times New Roman" w:hAnsi="Times New Roman"/>
          <w:b w:val="0"/>
          <w:i w:val="0"/>
          <w:sz w:val="24"/>
        </w:rPr>
        <w:t xml:space="preserve"> 79,352 surgical procedures performed between January 2022 and May 2025.</w:t>
      </w:r>
    </w:p>
    <w:p>
      <w:pPr>
        <w:spacing w:after="120" w:before="0" w:line="480" w:lineRule="exact"/>
        <w:jc w:val="left"/>
      </w:pPr>
      <w:r>
        <w:rPr>
          <w:rFonts w:ascii="Times New Roman" w:hAnsi="Times New Roman"/>
          <w:b/>
          <w:sz w:val="24"/>
        </w:rPr>
        <w:t>Main outcome measures.</w:t>
      </w:r>
      <w:r>
        <w:rPr>
          <w:rFonts w:ascii="Times New Roman" w:hAnsi="Times New Roman"/>
          <w:b w:val="0"/>
          <w:i w:val="0"/>
          <w:sz w:val="24"/>
        </w:rPr>
        <w:t xml:space="preserve"> Case-level overtime (time past the assigned shift end), by room, weekday, shift, and urgency. Start-time deviation, duration-estimation accuracy, and unplanned urgent-case disruption of the elective programme as candidate contributing factors.</w:t>
      </w:r>
    </w:p>
    <w:p>
      <w:pPr>
        <w:spacing w:after="120" w:before="0" w:line="480" w:lineRule="exact"/>
        <w:jc w:val="left"/>
      </w:pPr>
      <w:r>
        <w:rPr>
          <w:rFonts w:ascii="Times New Roman" w:hAnsi="Times New Roman"/>
          <w:b/>
          <w:sz w:val="24"/>
        </w:rPr>
        <w:t>Results.</w:t>
      </w:r>
      <w:r>
        <w:rPr>
          <w:rFonts w:ascii="Times New Roman" w:hAnsi="Times New Roman"/>
          <w:b w:val="0"/>
          <w:i w:val="0"/>
          <w:sz w:val="24"/>
        </w:rPr>
        <w:t xml:space="preserve"> 7,729 cases (9.7%) ran past the end of their assigned shift, with a mean overtime of 60.3 minutes and a 95th percentile of 197 minutes. Overtime concentrated in a small number of rooms: OR10 ran overtime on 32.9% of its cases (mean 154 minutes), while OR14 ran overtime on 3.5%. Urgent cases ran after-hours at more than twice the elective rate (18.2% versus 8.3%). Unplanned urgent cases disrupted the elective programme on 68.8% of observation days, associated with a median difference of approximately 30 minutes in elective start times. Start-time punctuality and inter-case idle time showed no consistent association with room-level overtime.</w:t>
      </w:r>
    </w:p>
    <w:p>
      <w:pPr>
        <w:spacing w:after="120" w:before="0" w:line="480" w:lineRule="exact"/>
        <w:jc w:val="left"/>
      </w:pPr>
      <w:r>
        <w:rPr>
          <w:rFonts w:ascii="Times New Roman" w:hAnsi="Times New Roman"/>
          <w:b/>
          <w:sz w:val="24"/>
        </w:rPr>
        <w:t>Conclusions.</w:t>
      </w:r>
      <w:r>
        <w:rPr>
          <w:rFonts w:ascii="Times New Roman" w:hAnsi="Times New Roman"/>
          <w:b w:val="0"/>
          <w:i w:val="0"/>
          <w:sz w:val="24"/>
        </w:rPr>
        <w:t xml:space="preserve"> At this tertiary hospital, overtime concentrated in a small number of rooms, with case-mix complexity and unplanned urgent-case disruption of the elective programme as the most visible associated factors. Room-level overtime monitoring and scheduling that accounts for urgent-case flow are more practical targets for quality improvement than start-time punctuality alone.</w:t>
      </w:r>
    </w:p>
    <w:p>
      <w:pPr>
        <w:spacing w:before="320" w:after="120" w:line="480" w:lineRule="exact"/>
        <w:jc w:val="left"/>
      </w:pPr>
      <w:r>
        <w:rPr>
          <w:rFonts w:ascii="Times New Roman" w:hAnsi="Times New Roman"/>
          <w:b/>
          <w:sz w:val="24"/>
        </w:rPr>
        <w:t>KEY MESSAGES</w:t>
      </w:r>
    </w:p>
    <w:p>
      <w:pPr>
        <w:spacing w:after="120" w:before="0" w:line="480" w:lineRule="exact"/>
        <w:jc w:val="left"/>
      </w:pPr>
      <w:r>
        <w:rPr>
          <w:rFonts w:ascii="Times New Roman" w:hAnsi="Times New Roman"/>
          <w:b/>
          <w:sz w:val="24"/>
        </w:rPr>
        <w:t>What is already known on this topic</w:t>
      </w:r>
    </w:p>
    <w:p>
      <w:pPr>
        <w:spacing w:after="60" w:before="0" w:line="480" w:lineRule="exact"/>
        <w:jc w:val="left"/>
      </w:pPr>
      <w:r>
        <w:rPr>
          <w:rFonts w:ascii="Times New Roman" w:hAnsi="Times New Roman"/>
          <w:b w:val="0"/>
          <w:i w:val="0"/>
          <w:sz w:val="24"/>
        </w:rPr>
        <w:t>• Operating-room overtime is associated with elevated patient mortality, staff fatigue, and burnout, and imposes disproportionate financial costs. Prior work has largely reported overtime as a hospital-wide aggregate, which can obscure where the problem actually resides.</w:t>
      </w:r>
    </w:p>
    <w:p>
      <w:pPr>
        <w:spacing w:after="120" w:before="0" w:line="480" w:lineRule="exact"/>
        <w:jc w:val="left"/>
      </w:pPr>
      <w:r>
        <w:rPr>
          <w:rFonts w:ascii="Times New Roman" w:hAnsi="Times New Roman"/>
          <w:b/>
          <w:sz w:val="24"/>
        </w:rPr>
        <w:t>What this study adds</w:t>
      </w:r>
    </w:p>
    <w:p>
      <w:pPr>
        <w:spacing w:after="60" w:before="0" w:line="480" w:lineRule="exact"/>
        <w:jc w:val="left"/>
      </w:pPr>
      <w:r>
        <w:rPr>
          <w:rFonts w:ascii="Times New Roman" w:hAnsi="Times New Roman"/>
          <w:b w:val="0"/>
          <w:i w:val="0"/>
          <w:sz w:val="24"/>
        </w:rPr>
        <w:t>• In a single-center retrospective analysis of 79,352 surgical cases, overtime concentrated in a small number of rooms, with a nearly ten-fold spread across the same hospital (3.5% to 32.9%). Case-mix complexity and unplanned urgent cases disrupting the elective programme were the factors most visibly associated with room-level overtime; start-time punctuality and inter-case idle time were not.</w:t>
      </w:r>
    </w:p>
    <w:p>
      <w:pPr>
        <w:spacing w:after="120" w:before="0" w:line="480" w:lineRule="exact"/>
        <w:jc w:val="left"/>
      </w:pPr>
      <w:r>
        <w:rPr>
          <w:rFonts w:ascii="Times New Roman" w:hAnsi="Times New Roman"/>
          <w:b/>
          <w:sz w:val="24"/>
        </w:rPr>
        <w:t>How this study might affect research, practice or policy</w:t>
      </w:r>
    </w:p>
    <w:p>
      <w:pPr>
        <w:spacing w:after="60" w:before="0" w:line="480" w:lineRule="exact"/>
        <w:jc w:val="left"/>
      </w:pPr>
      <w:r>
        <w:rPr>
          <w:rFonts w:ascii="Times New Roman" w:hAnsi="Times New Roman"/>
          <w:b w:val="0"/>
          <w:i w:val="0"/>
          <w:sz w:val="24"/>
        </w:rPr>
        <w:t>• Hospitals seeking to reduce overtime should monitor and target individual rooms rather than hospital-wide averages, and should treat urgent-case flow as a routine scheduling input rather than an exception. Linking these operational patterns to patient and staff outcomes is a necessary next step.</w:t>
      </w:r>
    </w:p>
    <w:p>
      <w:pPr>
        <w:spacing w:before="32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their schedules rarely align with planned schedules. Overtime in this setting can refer to several distinct phenomena: an individual case running longer than its booked duration, an operating list ending after its scheduled close, or surgery continuing into a period when fewer staff are rostered. These are different operational events with different consequences. The glossary of Bauer et al. defines overtime as time spent operating beyond the end of the assigned shift.</w:t>
      </w:r>
      <w:r>
        <w:rPr>
          <w:rFonts w:ascii="Times New Roman" w:hAnsi="Times New Roman"/>
          <w:sz w:val="24"/>
          <w:vertAlign w:val="superscript"/>
        </w:rPr>
        <w:t>18</w:t>
      </w:r>
      <w:r>
        <w:rPr>
          <w:rFonts w:ascii="Times New Roman" w:hAnsi="Times New Roman"/>
          <w:b w:val="0"/>
          <w:i w:val="0"/>
          <w:sz w:val="24"/>
        </w:rPr>
        <w:t xml:space="preserve"> We adopt this shift-based definition because the change of nursing staff at each boundary is the operational event that gives overtime its meaning. Overutilized time is approximately twice as expensive as underutilized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 case that runs past its shift boundary continues into the evening or night, when fewer staff are on duty. This is the exposure that a separate body of work studies under the term after-hours surgery, which is defined by the clock time of the operation rather than by a staffing boundary. The two are not identical, but overtime is one of the routes by which scheduled daytime work ends up being performed after hours, so the harms reported for after-hours surgery are relevant to it. After-hours surgery has been linked to elevated patient mortality. A meta-analysis reported an adjusted odds ratio of 1.16 (95% CI 1.06 to 1.28), based on low-certainty evidence.</w:t>
      </w:r>
      <w:r>
        <w:rPr>
          <w:rFonts w:ascii="Times New Roman" w:hAnsi="Times New Roman"/>
          <w:sz w:val="24"/>
          <w:vertAlign w:val="superscript"/>
        </w:rPr>
        <w:t>7</w:t>
      </w:r>
      <w:r>
        <w:rPr>
          <w:rFonts w:ascii="Times New Roman" w:hAnsi="Times New Roman"/>
          <w:b w:val="0"/>
          <w:i w:val="0"/>
          <w:sz w:val="24"/>
        </w:rPr>
        <w:t xml:space="preserve"> A propensity-matched cohort of 281,717 South Korean patients reported a larger effect (odds ratio 3.58), although that estimate has been challenged on residual-confounding grounds.</w:t>
      </w:r>
      <w:r>
        <w:rPr>
          <w:rFonts w:ascii="Times New Roman" w:hAnsi="Times New Roman"/>
          <w:sz w:val="24"/>
          <w:vertAlign w:val="superscript"/>
        </w:rPr>
        <w:t>8,9</w:t>
      </w:r>
      <w:r>
        <w:rPr>
          <w:rFonts w:ascii="Times New Roman" w:hAnsi="Times New Roman"/>
          <w:b w:val="0"/>
          <w:i w:val="0"/>
          <w:sz w:val="24"/>
        </w:rPr>
        <w:t xml:space="preserve"> In a multicenter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13</w:t>
      </w:r>
      <w:r>
        <w:rPr>
          <w:rFonts w:ascii="Times New Roman" w:hAnsi="Times New Roman"/>
          <w:b w:val="0"/>
          <w:i w:val="0"/>
          <w:sz w:val="24"/>
        </w:rPr>
        <w:t xml:space="preserve"> Each intraoperative anesthesia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national patient-safety investigation reported that 22% of surveyed doctors experienced daily sleep deprivation and 35% said tiredness had impaired their ability to treat patients.</w:t>
      </w:r>
      <w:r>
        <w:rPr>
          <w:rFonts w:ascii="Times New Roman" w:hAnsi="Times New Roman"/>
          <w:sz w:val="24"/>
          <w:vertAlign w:val="superscript"/>
        </w:rPr>
        <w:t>11</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The same exposure carries documented consequences for staff. A 12-country European nurse workforce study linked overtime and long shifts to poorer perceived quality of care and higher patient 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competes for a diminishing set of staffed rooms, staffed by different nursing personnel from those who began the case.</w:t>
      </w:r>
    </w:p>
    <w:p>
      <w:pPr>
        <w:spacing w:after="120" w:before="0" w:line="480" w:lineRule="exact"/>
        <w:jc w:val="left"/>
      </w:pPr>
      <w:r>
        <w:rPr>
          <w:rFonts w:ascii="Times New Roman" w:hAnsi="Times New Roman"/>
          <w:b w:val="0"/>
          <w:i w:val="0"/>
          <w:sz w:val="24"/>
        </w:rPr>
        <w:t>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and OR workflow disruptions are known to cluster and escalate.</w:t>
      </w:r>
      <w:r>
        <w:rPr>
          <w:rFonts w:ascii="Times New Roman" w:hAnsi="Times New Roman"/>
          <w:sz w:val="24"/>
          <w:vertAlign w:val="superscript"/>
        </w:rPr>
        <w:t>14,15</w:t>
      </w:r>
      <w:r>
        <w:rPr>
          <w:rFonts w:ascii="Times New Roman" w:hAnsi="Times New Roman"/>
          <w:b w:val="0"/>
          <w:i w:val="0"/>
          <w:sz w:val="24"/>
        </w:rPr>
        <w:t xml:space="preserve"> Whether overtime is concentrated in specific rooms within a single hospital, and which operational factors are associated with it, have received less attention.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broader effort at a Belgian tertiary hospital to improve OR performance. We analyze scheduled-versus-observed performance from administrative data and address two questions:</w:t>
      </w:r>
    </w:p>
    <w:p>
      <w:pPr>
        <w:spacing w:after="60" w:before="0" w:line="480" w:lineRule="exact"/>
        <w:jc w:val="left"/>
      </w:pPr>
      <w:r>
        <w:rPr>
          <w:rFonts w:ascii="Times New Roman" w:hAnsi="Times New Roman"/>
          <w:b w:val="0"/>
          <w:i w:val="0"/>
          <w:sz w:val="24"/>
        </w:rPr>
        <w:t>1. How is overtime distributed across rooms and time within one tertiary hospital? This examines whether overtime is a diffuse, hospital-wide problem or concentrated in specific rooms, since the appropriate intervention point depends on its distribution.</w:t>
      </w:r>
    </w:p>
    <w:p>
      <w:pPr>
        <w:spacing w:after="60" w:before="0" w:line="480" w:lineRule="exact"/>
        <w:jc w:val="left"/>
      </w:pPr>
      <w:r>
        <w:rPr>
          <w:rFonts w:ascii="Times New Roman" w:hAnsi="Times New Roman"/>
          <w:b w:val="0"/>
          <w:i w:val="0"/>
          <w:sz w:val="24"/>
        </w:rPr>
        <w:t>2. Which operational factors (duration overruns, urgent-elective interaction, and start-time punctuality) are associated with overtime? This tests which candidate factors identified in the literature are visible in our data, to inform where scheduling interventions should be directed.</w:t>
      </w:r>
    </w:p>
    <w:p>
      <w:pPr>
        <w:spacing w:before="32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center in Belgium performing more than 22,000 surgical procedures per year. It operates 18 surgical operating rooms and 7 interventional operating rooms. The surgical staff includes 195 surgeons and 207 anesthesiologists (including trainees and fellows), covering all surgical specialties except congenital cardiac surgery and organ transplantation. During the 08:00 to 16:30 day shift, each room is staffed with 2 to 3 nurses; at 16:30 the hospital reduces to 8 staffed rooms, at 17:30 to 4, and overnight to a single room.</w:t>
      </w:r>
    </w:p>
    <w:p>
      <w:pPr>
        <w:spacing w:after="120" w:before="0" w:line="480" w:lineRule="exact"/>
        <w:jc w:val="left"/>
      </w:pPr>
      <w:r>
        <w:rPr>
          <w:rFonts w:ascii="Times New Roman" w:hAnsi="Times New Roman"/>
          <w:b w:val="0"/>
          <w:i w:val="0"/>
          <w:sz w:val="24"/>
        </w:rPr>
        <w:t>We used administrative OR data from 1 January 2022 to 31 May 2025 from the 18 surgical operating rooms. Endoscopy suites and catheterization laboratory cases without an anesthesiologist present were excluded. Cases with implausible timestamps (zero observed duration, planned duration exceeding 24 hours, or extreme deviations from the planned schedule) were also removed. The final cohort comprised 79,352 cases involving 60,895 unique patients and 1,276 distinct procedure types. The admission mix was 42.3% ambulatory and 57.7% inpatient (ambulatory patients are discharged on the day of surgery; inpatient patients are admitted overnight). Room-in and room-out times are the only procedural time markers confirmed as reliable by the hospital's clinical team; all timing analyses use these two time points. The administrative system also records planned duration, urgency (non-elective cases were those scheduled or performed within 24 hours of booking; all others were classified as elective), and room assignment. From these inputs, and following the glossary of Bauer et al.,</w:t>
      </w:r>
      <w:r>
        <w:rPr>
          <w:rFonts w:ascii="Times New Roman" w:hAnsi="Times New Roman"/>
          <w:sz w:val="24"/>
          <w:vertAlign w:val="superscript"/>
        </w:rPr>
        <w:t>18</w:t>
      </w:r>
      <w:r>
        <w:rPr>
          <w:rFonts w:ascii="Times New Roman" w:hAnsi="Times New Roman"/>
          <w:b w:val="0"/>
          <w:i w:val="0"/>
          <w:sz w:val="24"/>
        </w:rPr>
        <w:t xml:space="preserve"> we derived observed duration, planning deviation, start-time deviation, overtime flag and overtime minutes, room-swap flag, and shift label.</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The same boundaries were applied on weekends. A case was flagged as overtime if its room-out fell after the end of its assigned shift; overtime minutes equal the positive difference between room-out and shift end. We chose this shift-based definition because the change of nursing staff at each boundary is the operational event that makes overtime consequential at this site, and because it aligns with Bauer et al.</w:t>
      </w:r>
      <w:r>
        <w:rPr>
          <w:rFonts w:ascii="Times New Roman" w:hAnsi="Times New Roman"/>
          <w:sz w:val="24"/>
          <w:vertAlign w:val="superscript"/>
        </w:rPr>
        <w:t>18</w:t>
      </w:r>
      <w:r>
        <w:rPr>
          <w:rFonts w:ascii="Times New Roman" w:hAnsi="Times New Roman"/>
          <w:b w:val="0"/>
          <w:i w:val="0"/>
          <w:sz w:val="24"/>
        </w:rPr>
        <w:t xml:space="preserve"> Room-level overtime, rather than aggregate utilization, was used as the primary metric, since aggregate measures can mask room-level operational problems.</w:t>
      </w:r>
      <w:r>
        <w:rPr>
          <w:rFonts w:ascii="Times New Roman" w:hAnsi="Times New Roman"/>
          <w:sz w:val="24"/>
          <w:vertAlign w:val="superscript"/>
        </w:rPr>
        <w:t>16,19</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urgency mix and timing, urgent-elective interaction (defined and reported in Results), start-time deviation per room, inter-case idle time, and room swaps. We also computed Spearman rank correlations across the 18 rooms between room-level overtime rate and two candidate factors: late-start rate and mean inter-case idle time. Intermediate findings were reviewed with the clinical team and used to refine variable definitions and exclusions. The study is reported in accordance with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de-identified administrative data with institutional approval. No patient interaction occurred.</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Given the retrospective use of fully de-identified administrative data, no patient or public involvement in the design, conduct, or reporting of this study was applicable.</w:t>
      </w:r>
    </w:p>
    <w:p>
      <w:pPr>
        <w:spacing w:before="32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cases across 18 surgical operating rooms, involving 60,895 unique patients, 195 surgeons, and 207 anesthesiologists, and included 1,276 distinct procedure types. Weekday volume was evenly distributed (17.9 to 20.0% Monday through Friday); weekends accounted for 1.8 to 2.1%. Year-on-year volume grew from 22,133 in 2022 to 23,738 in 2024, with 9,906 recorded through May 2025. The urgency mix was 85.4% elective and 14.6% non-elective.</w:t>
      </w: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was 39 minutes, and the 95th percentile was 197 minutes (Table 1A). Weekday rates were similar (8.8 to 9.9%) but roughly 1.7 times higher on weekends (Saturday 16.8%, Sunday 15.5%), when the elective programme does not run and volume is almost entirely urgent or emergency surgery. The year-on-year trend showed gradual improvement: 10.0% in 2022, 10.0% in 2023, 9.7% in 2024, and 8.6% in the partial 2025 data (Table 1B).</w:t>
      </w:r>
    </w:p>
    <w:p>
      <w:pPr>
        <w:spacing w:after="120" w:before="0" w:line="480" w:lineRule="exact"/>
        <w:jc w:val="left"/>
      </w:pPr>
      <w:r>
        <w:rPr>
          <w:rFonts w:ascii="Times New Roman" w:hAnsi="Times New Roman"/>
          <w:b/>
          <w:sz w:val="24"/>
        </w:rPr>
        <w:t>Table 1A. Overtime by weekday.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60" w:lineRule="exact" w:after="0"/>
            </w:pPr>
            <w:r/>
            <w:r>
              <w:rPr>
                <w:rFonts w:ascii="Times New Roman" w:hAnsi="Times New Roman"/>
                <w:b/>
                <w:i w:val="0"/>
                <w:sz w:val="22"/>
              </w:rPr>
              <w:t>Day</w:t>
            </w:r>
          </w:p>
        </w:tc>
        <w:tc>
          <w:tcPr>
            <w:tcW w:type="dxa" w:w="1881"/>
          </w:tcPr>
          <w:p>
            <w:pPr>
              <w:spacing w:line="260" w:lineRule="exact" w:after="0"/>
            </w:pPr>
            <w:r/>
            <w:r>
              <w:rPr>
                <w:rFonts w:ascii="Times New Roman" w:hAnsi="Times New Roman"/>
                <w:b/>
                <w:i w:val="0"/>
                <w:sz w:val="22"/>
              </w:rPr>
              <w:t>n cases</w:t>
            </w:r>
          </w:p>
        </w:tc>
        <w:tc>
          <w:tcPr>
            <w:tcW w:type="dxa" w:w="1881"/>
          </w:tcPr>
          <w:p>
            <w:pPr>
              <w:spacing w:line="260" w:lineRule="exact" w:after="0"/>
            </w:pPr>
            <w:r/>
            <w:r>
              <w:rPr>
                <w:rFonts w:ascii="Times New Roman" w:hAnsi="Times New Roman"/>
                <w:b/>
                <w:i w:val="0"/>
                <w:sz w:val="22"/>
              </w:rPr>
              <w:t>n overtime</w:t>
            </w:r>
          </w:p>
        </w:tc>
        <w:tc>
          <w:tcPr>
            <w:tcW w:type="dxa" w:w="1881"/>
          </w:tcPr>
          <w:p>
            <w:pPr>
              <w:spacing w:line="260" w:lineRule="exact" w:after="0"/>
            </w:pPr>
            <w:r/>
            <w:r>
              <w:rPr>
                <w:rFonts w:ascii="Times New Roman" w:hAnsi="Times New Roman"/>
                <w:b/>
                <w:i w:val="0"/>
                <w:sz w:val="22"/>
              </w:rPr>
              <w:t>OT rate (%)</w:t>
            </w:r>
          </w:p>
        </w:tc>
        <w:tc>
          <w:tcPr>
            <w:tcW w:type="dxa" w:w="1881"/>
          </w:tcPr>
          <w:p>
            <w:pPr>
              <w:spacing w:line="260" w:lineRule="exact" w:after="0"/>
            </w:pPr>
            <w:r/>
            <w:r>
              <w:rPr>
                <w:rFonts w:ascii="Times New Roman" w:hAnsi="Times New Roman"/>
                <w:b/>
                <w:i w:val="0"/>
                <w:sz w:val="22"/>
              </w:rPr>
              <w:t>Mean OT (min)</w:t>
            </w:r>
          </w:p>
        </w:tc>
      </w:tr>
      <w:tr>
        <w:tc>
          <w:tcPr>
            <w:tcW w:type="dxa" w:w="1881"/>
          </w:tcPr>
          <w:p>
            <w:pPr>
              <w:spacing w:line="260" w:lineRule="exact" w:after="0"/>
            </w:pPr>
            <w:r/>
            <w:r>
              <w:rPr>
                <w:rFonts w:ascii="Times New Roman" w:hAnsi="Times New Roman"/>
                <w:b w:val="0"/>
                <w:i w:val="0"/>
                <w:sz w:val="22"/>
              </w:rPr>
              <w:t>Monday</w:t>
            </w:r>
          </w:p>
        </w:tc>
        <w:tc>
          <w:tcPr>
            <w:tcW w:type="dxa" w:w="1881"/>
          </w:tcPr>
          <w:p>
            <w:pPr>
              <w:spacing w:line="260" w:lineRule="exact" w:after="0"/>
            </w:pPr>
            <w:r/>
            <w:r>
              <w:rPr>
                <w:rFonts w:ascii="Times New Roman" w:hAnsi="Times New Roman"/>
                <w:b w:val="0"/>
                <w:i w:val="0"/>
                <w:sz w:val="22"/>
              </w:rPr>
              <w:t>14,232</w:t>
            </w:r>
          </w:p>
        </w:tc>
        <w:tc>
          <w:tcPr>
            <w:tcW w:type="dxa" w:w="1881"/>
          </w:tcPr>
          <w:p>
            <w:pPr>
              <w:spacing w:line="260" w:lineRule="exact" w:after="0"/>
            </w:pPr>
            <w:r/>
            <w:r>
              <w:rPr>
                <w:rFonts w:ascii="Times New Roman" w:hAnsi="Times New Roman"/>
                <w:b w:val="0"/>
                <w:i w:val="0"/>
                <w:sz w:val="22"/>
              </w:rPr>
              <w:t>1,395</w:t>
            </w:r>
          </w:p>
        </w:tc>
        <w:tc>
          <w:tcPr>
            <w:tcW w:type="dxa" w:w="1881"/>
          </w:tcPr>
          <w:p>
            <w:pPr>
              <w:spacing w:line="260" w:lineRule="exact" w:after="0"/>
            </w:pPr>
            <w:r/>
            <w:r>
              <w:rPr>
                <w:rFonts w:ascii="Times New Roman" w:hAnsi="Times New Roman"/>
                <w:b w:val="0"/>
                <w:i w:val="0"/>
                <w:sz w:val="22"/>
              </w:rPr>
              <w:t>9.8</w:t>
            </w:r>
          </w:p>
        </w:tc>
        <w:tc>
          <w:tcPr>
            <w:tcW w:type="dxa" w:w="1881"/>
          </w:tcPr>
          <w:p>
            <w:pPr>
              <w:spacing w:line="260" w:lineRule="exact" w:after="0"/>
            </w:pPr>
            <w:r/>
            <w:r>
              <w:rPr>
                <w:rFonts w:ascii="Times New Roman" w:hAnsi="Times New Roman"/>
                <w:b w:val="0"/>
                <w:i w:val="0"/>
                <w:sz w:val="22"/>
              </w:rPr>
              <w:t>58.5</w:t>
            </w:r>
          </w:p>
        </w:tc>
      </w:tr>
      <w:tr>
        <w:tc>
          <w:tcPr>
            <w:tcW w:type="dxa" w:w="1881"/>
          </w:tcPr>
          <w:p>
            <w:pPr>
              <w:spacing w:line="260" w:lineRule="exact" w:after="0"/>
            </w:pPr>
            <w:r/>
            <w:r>
              <w:rPr>
                <w:rFonts w:ascii="Times New Roman" w:hAnsi="Times New Roman"/>
                <w:b w:val="0"/>
                <w:i w:val="0"/>
                <w:sz w:val="22"/>
              </w:rPr>
              <w:t>Tuesday</w:t>
            </w:r>
          </w:p>
        </w:tc>
        <w:tc>
          <w:tcPr>
            <w:tcW w:type="dxa" w:w="1881"/>
          </w:tcPr>
          <w:p>
            <w:pPr>
              <w:spacing w:line="260" w:lineRule="exact" w:after="0"/>
            </w:pPr>
            <w:r/>
            <w:r>
              <w:rPr>
                <w:rFonts w:ascii="Times New Roman" w:hAnsi="Times New Roman"/>
                <w:b w:val="0"/>
                <w:i w:val="0"/>
                <w:sz w:val="22"/>
              </w:rPr>
              <w:t>14,750</w:t>
            </w:r>
          </w:p>
        </w:tc>
        <w:tc>
          <w:tcPr>
            <w:tcW w:type="dxa" w:w="1881"/>
          </w:tcPr>
          <w:p>
            <w:pPr>
              <w:spacing w:line="260" w:lineRule="exact" w:after="0"/>
            </w:pPr>
            <w:r/>
            <w:r>
              <w:rPr>
                <w:rFonts w:ascii="Times New Roman" w:hAnsi="Times New Roman"/>
                <w:b w:val="0"/>
                <w:i w:val="0"/>
                <w:sz w:val="22"/>
              </w:rPr>
              <w:t>1,416</w:t>
            </w:r>
          </w:p>
        </w:tc>
        <w:tc>
          <w:tcPr>
            <w:tcW w:type="dxa" w:w="1881"/>
          </w:tcPr>
          <w:p>
            <w:pPr>
              <w:spacing w:line="260" w:lineRule="exact" w:after="0"/>
            </w:pPr>
            <w:r/>
            <w:r>
              <w:rPr>
                <w:rFonts w:ascii="Times New Roman" w:hAnsi="Times New Roman"/>
                <w:b w:val="0"/>
                <w:i w:val="0"/>
                <w:sz w:val="22"/>
              </w:rPr>
              <w:t>9.6</w:t>
            </w:r>
          </w:p>
        </w:tc>
        <w:tc>
          <w:tcPr>
            <w:tcW w:type="dxa" w:w="1881"/>
          </w:tcPr>
          <w:p>
            <w:pPr>
              <w:spacing w:line="260" w:lineRule="exact" w:after="0"/>
            </w:pPr>
            <w:r/>
            <w:r>
              <w:rPr>
                <w:rFonts w:ascii="Times New Roman" w:hAnsi="Times New Roman"/>
                <w:b w:val="0"/>
                <w:i w:val="0"/>
                <w:sz w:val="22"/>
              </w:rPr>
              <w:t>60.1</w:t>
            </w:r>
          </w:p>
        </w:tc>
      </w:tr>
      <w:tr>
        <w:tc>
          <w:tcPr>
            <w:tcW w:type="dxa" w:w="1881"/>
          </w:tcPr>
          <w:p>
            <w:pPr>
              <w:spacing w:line="260" w:lineRule="exact" w:after="0"/>
            </w:pPr>
            <w:r/>
            <w:r>
              <w:rPr>
                <w:rFonts w:ascii="Times New Roman" w:hAnsi="Times New Roman"/>
                <w:b w:val="0"/>
                <w:i w:val="0"/>
                <w:sz w:val="22"/>
              </w:rPr>
              <w:t>Wednesday</w:t>
            </w:r>
          </w:p>
        </w:tc>
        <w:tc>
          <w:tcPr>
            <w:tcW w:type="dxa" w:w="1881"/>
          </w:tcPr>
          <w:p>
            <w:pPr>
              <w:spacing w:line="260" w:lineRule="exact" w:after="0"/>
            </w:pPr>
            <w:r/>
            <w:r>
              <w:rPr>
                <w:rFonts w:ascii="Times New Roman" w:hAnsi="Times New Roman"/>
                <w:b w:val="0"/>
                <w:i w:val="0"/>
                <w:sz w:val="22"/>
              </w:rPr>
              <w:t>15,814</w:t>
            </w:r>
          </w:p>
        </w:tc>
        <w:tc>
          <w:tcPr>
            <w:tcW w:type="dxa" w:w="1881"/>
          </w:tcPr>
          <w:p>
            <w:pPr>
              <w:spacing w:line="260" w:lineRule="exact" w:after="0"/>
            </w:pPr>
            <w:r/>
            <w:r>
              <w:rPr>
                <w:rFonts w:ascii="Times New Roman" w:hAnsi="Times New Roman"/>
                <w:b w:val="0"/>
                <w:i w:val="0"/>
                <w:sz w:val="22"/>
              </w:rPr>
              <w:t>1,502</w:t>
            </w:r>
          </w:p>
        </w:tc>
        <w:tc>
          <w:tcPr>
            <w:tcW w:type="dxa" w:w="1881"/>
          </w:tcPr>
          <w:p>
            <w:pPr>
              <w:spacing w:line="260" w:lineRule="exact" w:after="0"/>
            </w:pPr>
            <w:r/>
            <w:r>
              <w:rPr>
                <w:rFonts w:ascii="Times New Roman" w:hAnsi="Times New Roman"/>
                <w:b w:val="0"/>
                <w:i w:val="0"/>
                <w:sz w:val="22"/>
              </w:rPr>
              <w:t>9.5</w:t>
            </w:r>
          </w:p>
        </w:tc>
        <w:tc>
          <w:tcPr>
            <w:tcW w:type="dxa" w:w="1881"/>
          </w:tcPr>
          <w:p>
            <w:pPr>
              <w:spacing w:line="260" w:lineRule="exact" w:after="0"/>
            </w:pPr>
            <w:r/>
            <w:r>
              <w:rPr>
                <w:rFonts w:ascii="Times New Roman" w:hAnsi="Times New Roman"/>
                <w:b w:val="0"/>
                <w:i w:val="0"/>
                <w:sz w:val="22"/>
              </w:rPr>
              <w:t>59.7</w:t>
            </w:r>
          </w:p>
        </w:tc>
      </w:tr>
      <w:tr>
        <w:tc>
          <w:tcPr>
            <w:tcW w:type="dxa" w:w="1881"/>
          </w:tcPr>
          <w:p>
            <w:pPr>
              <w:spacing w:line="260" w:lineRule="exact" w:after="0"/>
            </w:pPr>
            <w:r/>
            <w:r>
              <w:rPr>
                <w:rFonts w:ascii="Times New Roman" w:hAnsi="Times New Roman"/>
                <w:b w:val="0"/>
                <w:i w:val="0"/>
                <w:sz w:val="22"/>
              </w:rPr>
              <w:t>Thursday</w:t>
            </w:r>
          </w:p>
        </w:tc>
        <w:tc>
          <w:tcPr>
            <w:tcW w:type="dxa" w:w="1881"/>
          </w:tcPr>
          <w:p>
            <w:pPr>
              <w:spacing w:line="260" w:lineRule="exact" w:after="0"/>
            </w:pPr>
            <w:r/>
            <w:r>
              <w:rPr>
                <w:rFonts w:ascii="Times New Roman" w:hAnsi="Times New Roman"/>
                <w:b w:val="0"/>
                <w:i w:val="0"/>
                <w:sz w:val="22"/>
              </w:rPr>
              <w:t>15,844</w:t>
            </w:r>
          </w:p>
        </w:tc>
        <w:tc>
          <w:tcPr>
            <w:tcW w:type="dxa" w:w="1881"/>
          </w:tcPr>
          <w:p>
            <w:pPr>
              <w:spacing w:line="260" w:lineRule="exact" w:after="0"/>
            </w:pPr>
            <w:r/>
            <w:r>
              <w:rPr>
                <w:rFonts w:ascii="Times New Roman" w:hAnsi="Times New Roman"/>
                <w:b w:val="0"/>
                <w:i w:val="0"/>
                <w:sz w:val="22"/>
              </w:rPr>
              <w:t>1,394</w:t>
            </w:r>
          </w:p>
        </w:tc>
        <w:tc>
          <w:tcPr>
            <w:tcW w:type="dxa" w:w="1881"/>
          </w:tcPr>
          <w:p>
            <w:pPr>
              <w:spacing w:line="260" w:lineRule="exact" w:after="0"/>
            </w:pPr>
            <w:r/>
            <w:r>
              <w:rPr>
                <w:rFonts w:ascii="Times New Roman" w:hAnsi="Times New Roman"/>
                <w:b w:val="0"/>
                <w:i w:val="0"/>
                <w:sz w:val="22"/>
              </w:rPr>
              <w:t>8.8</w:t>
            </w:r>
          </w:p>
        </w:tc>
        <w:tc>
          <w:tcPr>
            <w:tcW w:type="dxa" w:w="1881"/>
          </w:tcPr>
          <w:p>
            <w:pPr>
              <w:spacing w:line="260" w:lineRule="exact" w:after="0"/>
            </w:pPr>
            <w:r/>
            <w:r>
              <w:rPr>
                <w:rFonts w:ascii="Times New Roman" w:hAnsi="Times New Roman"/>
                <w:b w:val="0"/>
                <w:i w:val="0"/>
                <w:sz w:val="22"/>
              </w:rPr>
              <w:t>60.5</w:t>
            </w:r>
          </w:p>
        </w:tc>
      </w:tr>
      <w:tr>
        <w:tc>
          <w:tcPr>
            <w:tcW w:type="dxa" w:w="1881"/>
          </w:tcPr>
          <w:p>
            <w:pPr>
              <w:spacing w:line="260" w:lineRule="exact" w:after="0"/>
            </w:pPr>
            <w:r/>
            <w:r>
              <w:rPr>
                <w:rFonts w:ascii="Times New Roman" w:hAnsi="Times New Roman"/>
                <w:b w:val="0"/>
                <w:i w:val="0"/>
                <w:sz w:val="22"/>
              </w:rPr>
              <w:t>Friday</w:t>
            </w:r>
          </w:p>
        </w:tc>
        <w:tc>
          <w:tcPr>
            <w:tcW w:type="dxa" w:w="1881"/>
          </w:tcPr>
          <w:p>
            <w:pPr>
              <w:spacing w:line="260" w:lineRule="exact" w:after="0"/>
            </w:pPr>
            <w:r/>
            <w:r>
              <w:rPr>
                <w:rFonts w:ascii="Times New Roman" w:hAnsi="Times New Roman"/>
                <w:b w:val="0"/>
                <w:i w:val="0"/>
                <w:sz w:val="22"/>
              </w:rPr>
              <w:t>15,615</w:t>
            </w:r>
          </w:p>
        </w:tc>
        <w:tc>
          <w:tcPr>
            <w:tcW w:type="dxa" w:w="1881"/>
          </w:tcPr>
          <w:p>
            <w:pPr>
              <w:spacing w:line="260" w:lineRule="exact" w:after="0"/>
            </w:pPr>
            <w:r/>
            <w:r>
              <w:rPr>
                <w:rFonts w:ascii="Times New Roman" w:hAnsi="Times New Roman"/>
                <w:b w:val="0"/>
                <w:i w:val="0"/>
                <w:sz w:val="22"/>
              </w:rPr>
              <w:t>1,546</w:t>
            </w:r>
          </w:p>
        </w:tc>
        <w:tc>
          <w:tcPr>
            <w:tcW w:type="dxa" w:w="1881"/>
          </w:tcPr>
          <w:p>
            <w:pPr>
              <w:spacing w:line="260" w:lineRule="exact" w:after="0"/>
            </w:pPr>
            <w:r/>
            <w:r>
              <w:rPr>
                <w:rFonts w:ascii="Times New Roman" w:hAnsi="Times New Roman"/>
                <w:b w:val="0"/>
                <w:i w:val="0"/>
                <w:sz w:val="22"/>
              </w:rPr>
              <w:t>9.9</w:t>
            </w:r>
          </w:p>
        </w:tc>
        <w:tc>
          <w:tcPr>
            <w:tcW w:type="dxa" w:w="1881"/>
          </w:tcPr>
          <w:p>
            <w:pPr>
              <w:spacing w:line="260" w:lineRule="exact" w:after="0"/>
            </w:pPr>
            <w:r/>
            <w:r>
              <w:rPr>
                <w:rFonts w:ascii="Times New Roman" w:hAnsi="Times New Roman"/>
                <w:b w:val="0"/>
                <w:i w:val="0"/>
                <w:sz w:val="22"/>
              </w:rPr>
              <w:t>62.4</w:t>
            </w:r>
          </w:p>
        </w:tc>
      </w:tr>
      <w:tr>
        <w:tc>
          <w:tcPr>
            <w:tcW w:type="dxa" w:w="1881"/>
          </w:tcPr>
          <w:p>
            <w:pPr>
              <w:spacing w:line="260" w:lineRule="exact" w:after="0"/>
            </w:pPr>
            <w:r/>
            <w:r>
              <w:rPr>
                <w:rFonts w:ascii="Times New Roman" w:hAnsi="Times New Roman"/>
                <w:b w:val="0"/>
                <w:i w:val="0"/>
                <w:sz w:val="22"/>
              </w:rPr>
              <w:t>Saturday</w:t>
            </w:r>
          </w:p>
        </w:tc>
        <w:tc>
          <w:tcPr>
            <w:tcW w:type="dxa" w:w="1881"/>
          </w:tcPr>
          <w:p>
            <w:pPr>
              <w:spacing w:line="260" w:lineRule="exact" w:after="0"/>
            </w:pPr>
            <w:r/>
            <w:r>
              <w:rPr>
                <w:rFonts w:ascii="Times New Roman" w:hAnsi="Times New Roman"/>
                <w:b w:val="0"/>
                <w:i w:val="0"/>
                <w:sz w:val="22"/>
              </w:rPr>
              <w:t>1,654</w:t>
            </w:r>
          </w:p>
        </w:tc>
        <w:tc>
          <w:tcPr>
            <w:tcW w:type="dxa" w:w="1881"/>
          </w:tcPr>
          <w:p>
            <w:pPr>
              <w:spacing w:line="260" w:lineRule="exact" w:after="0"/>
            </w:pPr>
            <w:r/>
            <w:r>
              <w:rPr>
                <w:rFonts w:ascii="Times New Roman" w:hAnsi="Times New Roman"/>
                <w:b w:val="0"/>
                <w:i w:val="0"/>
                <w:sz w:val="22"/>
              </w:rPr>
              <w:t>278</w:t>
            </w:r>
          </w:p>
        </w:tc>
        <w:tc>
          <w:tcPr>
            <w:tcW w:type="dxa" w:w="1881"/>
          </w:tcPr>
          <w:p>
            <w:pPr>
              <w:spacing w:line="260" w:lineRule="exact" w:after="0"/>
            </w:pPr>
            <w:r/>
            <w:r>
              <w:rPr>
                <w:rFonts w:ascii="Times New Roman" w:hAnsi="Times New Roman"/>
                <w:b w:val="0"/>
                <w:i w:val="0"/>
                <w:sz w:val="22"/>
              </w:rPr>
              <w:t>16.8</w:t>
            </w:r>
          </w:p>
        </w:tc>
        <w:tc>
          <w:tcPr>
            <w:tcW w:type="dxa" w:w="1881"/>
          </w:tcPr>
          <w:p>
            <w:pPr>
              <w:spacing w:line="260" w:lineRule="exact" w:after="0"/>
            </w:pPr>
            <w:r/>
            <w:r>
              <w:rPr>
                <w:rFonts w:ascii="Times New Roman" w:hAnsi="Times New Roman"/>
                <w:b w:val="0"/>
                <w:i w:val="0"/>
                <w:sz w:val="22"/>
              </w:rPr>
              <w:t>63.4</w:t>
            </w:r>
          </w:p>
        </w:tc>
      </w:tr>
      <w:tr>
        <w:tc>
          <w:tcPr>
            <w:tcW w:type="dxa" w:w="1881"/>
          </w:tcPr>
          <w:p>
            <w:pPr>
              <w:spacing w:line="260" w:lineRule="exact" w:after="0"/>
            </w:pPr>
            <w:r/>
            <w:r>
              <w:rPr>
                <w:rFonts w:ascii="Times New Roman" w:hAnsi="Times New Roman"/>
                <w:b w:val="0"/>
                <w:i w:val="0"/>
                <w:sz w:val="22"/>
              </w:rPr>
              <w:t>Sunday</w:t>
            </w:r>
          </w:p>
        </w:tc>
        <w:tc>
          <w:tcPr>
            <w:tcW w:type="dxa" w:w="1881"/>
          </w:tcPr>
          <w:p>
            <w:pPr>
              <w:spacing w:line="260" w:lineRule="exact" w:after="0"/>
            </w:pPr>
            <w:r/>
            <w:r>
              <w:rPr>
                <w:rFonts w:ascii="Times New Roman" w:hAnsi="Times New Roman"/>
                <w:b w:val="0"/>
                <w:i w:val="0"/>
                <w:sz w:val="22"/>
              </w:rPr>
              <w:t>1,443</w:t>
            </w:r>
          </w:p>
        </w:tc>
        <w:tc>
          <w:tcPr>
            <w:tcW w:type="dxa" w:w="1881"/>
          </w:tcPr>
          <w:p>
            <w:pPr>
              <w:spacing w:line="260" w:lineRule="exact" w:after="0"/>
            </w:pPr>
            <w:r/>
            <w:r>
              <w:rPr>
                <w:rFonts w:ascii="Times New Roman" w:hAnsi="Times New Roman"/>
                <w:b w:val="0"/>
                <w:i w:val="0"/>
                <w:sz w:val="22"/>
              </w:rPr>
              <w:t>224</w:t>
            </w:r>
          </w:p>
        </w:tc>
        <w:tc>
          <w:tcPr>
            <w:tcW w:type="dxa" w:w="1881"/>
          </w:tcPr>
          <w:p>
            <w:pPr>
              <w:spacing w:line="260" w:lineRule="exact" w:after="0"/>
            </w:pPr>
            <w:r/>
            <w:r>
              <w:rPr>
                <w:rFonts w:ascii="Times New Roman" w:hAnsi="Times New Roman"/>
                <w:b w:val="0"/>
                <w:i w:val="0"/>
                <w:sz w:val="22"/>
              </w:rPr>
              <w:t>15.5</w:t>
            </w:r>
          </w:p>
        </w:tc>
        <w:tc>
          <w:tcPr>
            <w:tcW w:type="dxa" w:w="1881"/>
          </w:tcPr>
          <w:p>
            <w:pPr>
              <w:spacing w:line="260" w:lineRule="exact" w:after="0"/>
            </w:pPr>
            <w:r/>
            <w:r>
              <w:rPr>
                <w:rFonts w:ascii="Times New Roman" w:hAnsi="Times New Roman"/>
                <w:b w:val="0"/>
                <w:i w:val="0"/>
                <w:sz w:val="22"/>
              </w:rPr>
              <w:t>59.1</w:t>
            </w:r>
          </w:p>
        </w:tc>
      </w:tr>
      <w:tr>
        <w:tc>
          <w:tcPr>
            <w:tcW w:type="dxa" w:w="1881"/>
          </w:tcPr>
          <w:p>
            <w:pPr>
              <w:spacing w:line="260" w:lineRule="exact" w:after="0"/>
            </w:pPr>
            <w:r/>
            <w:r>
              <w:rPr>
                <w:rFonts w:ascii="Times New Roman" w:hAnsi="Times New Roman"/>
                <w:b/>
                <w:sz w:val="22"/>
              </w:rPr>
              <w:t>Total</w:t>
            </w:r>
          </w:p>
        </w:tc>
        <w:tc>
          <w:tcPr>
            <w:tcW w:type="dxa" w:w="1881"/>
          </w:tcPr>
          <w:p>
            <w:pPr>
              <w:spacing w:line="260" w:lineRule="exact" w:after="0"/>
            </w:pPr>
            <w:r/>
            <w:r>
              <w:rPr>
                <w:rFonts w:ascii="Times New Roman" w:hAnsi="Times New Roman"/>
                <w:b/>
                <w:sz w:val="22"/>
              </w:rPr>
              <w:t>79,352</w:t>
            </w:r>
          </w:p>
        </w:tc>
        <w:tc>
          <w:tcPr>
            <w:tcW w:type="dxa" w:w="1881"/>
          </w:tcPr>
          <w:p>
            <w:pPr>
              <w:spacing w:line="260" w:lineRule="exact" w:after="0"/>
            </w:pPr>
            <w:r/>
            <w:r>
              <w:rPr>
                <w:rFonts w:ascii="Times New Roman" w:hAnsi="Times New Roman"/>
                <w:b/>
                <w:sz w:val="22"/>
              </w:rPr>
              <w:t>7,729</w:t>
            </w:r>
          </w:p>
        </w:tc>
        <w:tc>
          <w:tcPr>
            <w:tcW w:type="dxa" w:w="1881"/>
          </w:tcPr>
          <w:p>
            <w:pPr>
              <w:spacing w:line="260" w:lineRule="exact" w:after="0"/>
            </w:pPr>
            <w:r/>
            <w:r>
              <w:rPr>
                <w:rFonts w:ascii="Times New Roman" w:hAnsi="Times New Roman"/>
                <w:b/>
                <w:sz w:val="22"/>
              </w:rPr>
              <w:t>9.7</w:t>
            </w:r>
          </w:p>
        </w:tc>
        <w:tc>
          <w:tcPr>
            <w:tcW w:type="dxa" w:w="1881"/>
          </w:tcPr>
          <w:p>
            <w:pPr>
              <w:spacing w:line="260" w:lineRule="exact" w:after="0"/>
            </w:pPr>
            <w:r/>
            <w:r>
              <w:rPr>
                <w:rFonts w:ascii="Times New Roman" w:hAnsi="Times New Roman"/>
                <w:b/>
                <w:sz w:val="22"/>
              </w:rPr>
              <w:t>60.3</w:t>
            </w:r>
          </w:p>
        </w:tc>
      </w:tr>
    </w:tbl>
    <w:p>
      <w:pPr>
        <w:spacing w:line="120" w:lineRule="exact"/>
      </w:pPr>
    </w:p>
    <w:p>
      <w:pPr>
        <w:spacing w:after="120" w:before="0" w:line="480" w:lineRule="exact"/>
        <w:jc w:val="left"/>
      </w:pPr>
      <w:r>
        <w:rPr>
          <w:rFonts w:ascii="Times New Roman" w:hAnsi="Times New Roman"/>
          <w:b/>
          <w:sz w:val="24"/>
        </w:rPr>
        <w:t>Table 1B. Overtime trend by year.</w:t>
      </w:r>
      <w:r>
        <w:rPr>
          <w:rFonts w:ascii="Times New Roman" w:hAnsi="Times New Roman"/>
          <w:b w:val="0"/>
          <w:i w:val="0"/>
          <w:sz w:val="24"/>
        </w:rPr>
        <w:t xml:space="preserve"> (*2025 partial, January–May.)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60" w:lineRule="exact" w:after="0"/>
            </w:pPr>
            <w:r/>
            <w:r>
              <w:rPr>
                <w:rFonts w:ascii="Times New Roman" w:hAnsi="Times New Roman"/>
                <w:b/>
                <w:i w:val="0"/>
                <w:sz w:val="22"/>
              </w:rPr>
              <w:t>Year</w:t>
            </w:r>
          </w:p>
        </w:tc>
        <w:tc>
          <w:tcPr>
            <w:tcW w:type="dxa" w:w="2351"/>
          </w:tcPr>
          <w:p>
            <w:pPr>
              <w:spacing w:line="260" w:lineRule="exact" w:after="0"/>
            </w:pPr>
            <w:r/>
            <w:r>
              <w:rPr>
                <w:rFonts w:ascii="Times New Roman" w:hAnsi="Times New Roman"/>
                <w:b/>
                <w:i w:val="0"/>
                <w:sz w:val="22"/>
              </w:rPr>
              <w:t>OT rate (%)</w:t>
            </w:r>
          </w:p>
        </w:tc>
        <w:tc>
          <w:tcPr>
            <w:tcW w:type="dxa" w:w="2351"/>
          </w:tcPr>
          <w:p>
            <w:pPr>
              <w:spacing w:line="260" w:lineRule="exact" w:after="0"/>
            </w:pPr>
            <w:r/>
            <w:r>
              <w:rPr>
                <w:rFonts w:ascii="Times New Roman" w:hAnsi="Times New Roman"/>
                <w:b/>
                <w:i w:val="0"/>
                <w:sz w:val="22"/>
              </w:rPr>
              <w:t>Mean OT (min)</w:t>
            </w:r>
          </w:p>
        </w:tc>
        <w:tc>
          <w:tcPr>
            <w:tcW w:type="dxa" w:w="2351"/>
          </w:tcPr>
          <w:p>
            <w:pPr>
              <w:spacing w:line="260" w:lineRule="exact" w:after="0"/>
            </w:pPr>
            <w:r/>
            <w:r>
              <w:rPr>
                <w:rFonts w:ascii="Times New Roman" w:hAnsi="Times New Roman"/>
                <w:b/>
                <w:i w:val="0"/>
                <w:sz w:val="22"/>
              </w:rPr>
              <w:t>Median OT (min)</w:t>
            </w:r>
          </w:p>
        </w:tc>
      </w:tr>
      <w:tr>
        <w:tc>
          <w:tcPr>
            <w:tcW w:type="dxa" w:w="2351"/>
          </w:tcPr>
          <w:p>
            <w:pPr>
              <w:spacing w:line="260" w:lineRule="exact" w:after="0"/>
            </w:pPr>
            <w:r/>
            <w:r>
              <w:rPr>
                <w:rFonts w:ascii="Times New Roman" w:hAnsi="Times New Roman"/>
                <w:b w:val="0"/>
                <w:i w:val="0"/>
                <w:sz w:val="22"/>
              </w:rPr>
              <w:t>2022</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61.8</w:t>
            </w:r>
          </w:p>
        </w:tc>
        <w:tc>
          <w:tcPr>
            <w:tcW w:type="dxa" w:w="2351"/>
          </w:tcPr>
          <w:p>
            <w:pPr>
              <w:spacing w:line="260" w:lineRule="exact" w:after="0"/>
            </w:pPr>
            <w:r/>
            <w:r>
              <w:rPr>
                <w:rFonts w:ascii="Times New Roman" w:hAnsi="Times New Roman"/>
                <w:b w:val="0"/>
                <w:i w:val="0"/>
                <w:sz w:val="22"/>
              </w:rPr>
              <w:t>40</w:t>
            </w:r>
          </w:p>
        </w:tc>
      </w:tr>
      <w:tr>
        <w:tc>
          <w:tcPr>
            <w:tcW w:type="dxa" w:w="2351"/>
          </w:tcPr>
          <w:p>
            <w:pPr>
              <w:spacing w:line="260" w:lineRule="exact" w:after="0"/>
            </w:pPr>
            <w:r/>
            <w:r>
              <w:rPr>
                <w:rFonts w:ascii="Times New Roman" w:hAnsi="Times New Roman"/>
                <w:b w:val="0"/>
                <w:i w:val="0"/>
                <w:sz w:val="22"/>
              </w:rPr>
              <w:t>2023</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58.8</w:t>
            </w:r>
          </w:p>
        </w:tc>
        <w:tc>
          <w:tcPr>
            <w:tcW w:type="dxa" w:w="2351"/>
          </w:tcPr>
          <w:p>
            <w:pPr>
              <w:spacing w:line="260" w:lineRule="exact" w:after="0"/>
            </w:pPr>
            <w:r/>
            <w:r>
              <w:rPr>
                <w:rFonts w:ascii="Times New Roman" w:hAnsi="Times New Roman"/>
                <w:b w:val="0"/>
                <w:i w:val="0"/>
                <w:sz w:val="22"/>
              </w:rPr>
              <w:t>38</w:t>
            </w:r>
          </w:p>
        </w:tc>
      </w:tr>
      <w:tr>
        <w:tc>
          <w:tcPr>
            <w:tcW w:type="dxa" w:w="2351"/>
          </w:tcPr>
          <w:p>
            <w:pPr>
              <w:spacing w:line="260" w:lineRule="exact" w:after="0"/>
            </w:pPr>
            <w:r/>
            <w:r>
              <w:rPr>
                <w:rFonts w:ascii="Times New Roman" w:hAnsi="Times New Roman"/>
                <w:b w:val="0"/>
                <w:i w:val="0"/>
                <w:sz w:val="22"/>
              </w:rPr>
              <w:t>2024</w:t>
            </w:r>
          </w:p>
        </w:tc>
        <w:tc>
          <w:tcPr>
            <w:tcW w:type="dxa" w:w="2351"/>
          </w:tcPr>
          <w:p>
            <w:pPr>
              <w:spacing w:line="260" w:lineRule="exact" w:after="0"/>
            </w:pPr>
            <w:r/>
            <w:r>
              <w:rPr>
                <w:rFonts w:ascii="Times New Roman" w:hAnsi="Times New Roman"/>
                <w:b w:val="0"/>
                <w:i w:val="0"/>
                <w:sz w:val="22"/>
              </w:rPr>
              <w:t>9.7</w:t>
            </w:r>
          </w:p>
        </w:tc>
        <w:tc>
          <w:tcPr>
            <w:tcW w:type="dxa" w:w="2351"/>
          </w:tcPr>
          <w:p>
            <w:pPr>
              <w:spacing w:line="260" w:lineRule="exact" w:after="0"/>
            </w:pPr>
            <w:r/>
            <w:r>
              <w:rPr>
                <w:rFonts w:ascii="Times New Roman" w:hAnsi="Times New Roman"/>
                <w:b w:val="0"/>
                <w:i w:val="0"/>
                <w:sz w:val="22"/>
              </w:rPr>
              <w:t>61.3</w:t>
            </w:r>
          </w:p>
        </w:tc>
        <w:tc>
          <w:tcPr>
            <w:tcW w:type="dxa" w:w="2351"/>
          </w:tcPr>
          <w:p>
            <w:pPr>
              <w:spacing w:line="260" w:lineRule="exact" w:after="0"/>
            </w:pPr>
            <w:r/>
            <w:r>
              <w:rPr>
                <w:rFonts w:ascii="Times New Roman" w:hAnsi="Times New Roman"/>
                <w:b w:val="0"/>
                <w:i w:val="0"/>
                <w:sz w:val="22"/>
              </w:rPr>
              <w:t>39</w:t>
            </w:r>
          </w:p>
        </w:tc>
      </w:tr>
      <w:tr>
        <w:tc>
          <w:tcPr>
            <w:tcW w:type="dxa" w:w="2351"/>
          </w:tcPr>
          <w:p>
            <w:pPr>
              <w:spacing w:line="260" w:lineRule="exact" w:after="0"/>
            </w:pPr>
            <w:r/>
            <w:r>
              <w:rPr>
                <w:rFonts w:ascii="Times New Roman" w:hAnsi="Times New Roman"/>
                <w:b w:val="0"/>
                <w:i w:val="0"/>
                <w:sz w:val="22"/>
              </w:rPr>
              <w:t>2025*</w:t>
            </w:r>
          </w:p>
        </w:tc>
        <w:tc>
          <w:tcPr>
            <w:tcW w:type="dxa" w:w="2351"/>
          </w:tcPr>
          <w:p>
            <w:pPr>
              <w:spacing w:line="260" w:lineRule="exact" w:after="0"/>
            </w:pPr>
            <w:r/>
            <w:r>
              <w:rPr>
                <w:rFonts w:ascii="Times New Roman" w:hAnsi="Times New Roman"/>
                <w:b w:val="0"/>
                <w:i w:val="0"/>
                <w:sz w:val="22"/>
              </w:rPr>
              <w:t>8.6</w:t>
            </w:r>
          </w:p>
        </w:tc>
        <w:tc>
          <w:tcPr>
            <w:tcW w:type="dxa" w:w="2351"/>
          </w:tcPr>
          <w:p>
            <w:pPr>
              <w:spacing w:line="260" w:lineRule="exact" w:after="0"/>
            </w:pPr>
            <w:r/>
            <w:r>
              <w:rPr>
                <w:rFonts w:ascii="Times New Roman" w:hAnsi="Times New Roman"/>
                <w:b w:val="0"/>
                <w:i w:val="0"/>
                <w:sz w:val="22"/>
              </w:rPr>
              <w:t>58.2</w:t>
            </w:r>
          </w:p>
        </w:tc>
        <w:tc>
          <w:tcPr>
            <w:tcW w:type="dxa" w:w="2351"/>
          </w:tcPr>
          <w:p>
            <w:pPr>
              <w:spacing w:line="260" w:lineRule="exact" w:after="0"/>
            </w:pPr>
            <w:r/>
            <w:r>
              <w:rPr>
                <w:rFonts w:ascii="Times New Roman" w:hAnsi="Times New Roman"/>
                <w:b w:val="0"/>
                <w:i w:val="0"/>
                <w:sz w:val="22"/>
              </w:rPr>
              <w:t>37</w:t>
            </w:r>
          </w:p>
        </w:tc>
      </w:tr>
    </w:tbl>
    <w:p>
      <w:pPr>
        <w:spacing w:line="120" w:lineRule="exact"/>
      </w:pP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11–16%. At the other end, OR14 ran 3.5% across 6,885 cases, and OR01 ran 5.8% across 6,577. Rates therefore spanned nearly an order of magnitude across rooms in the same hospital.</w:t>
      </w:r>
    </w:p>
    <w:p>
      <w:pPr>
        <w:spacing w:after="120" w:before="120" w:line="480" w:lineRule="exact"/>
        <w:jc w:val="left"/>
      </w:pPr>
      <w:r>
        <w:rPr>
          <w:rFonts w:ascii="Times New Roman" w:hAnsi="Times New Roman"/>
          <w:b w:val="0"/>
          <w:i/>
          <w:sz w:val="24"/>
        </w:rPr>
        <w:t>[Insert Figure 1 about here]</w:t>
      </w:r>
    </w:p>
    <w:p>
      <w:pPr>
        <w:spacing w:after="120" w:before="0" w:line="480" w:lineRule="exact"/>
        <w:jc w:val="left"/>
      </w:pPr>
      <w:r>
        <w:rPr>
          <w:rFonts w:ascii="Times New Roman" w:hAnsi="Times New Roman"/>
          <w:b w:val="0"/>
          <w:i w:val="0"/>
          <w:sz w:val="24"/>
        </w:rPr>
        <w:t>Most overtime cases ended shortly after the shift boundary. The majority of completions fell in the 16:30 to 17:30 window, right after the day-shift handover when most of the rooms had already closed.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(not only those with overtime), 45.7% ran longer than planned and 54.3% ran shorter. The mean overrun was 22.6 minutes (median 14) and the mean underrun was 21.2 minutes (median 12). Overruns and underruns were of similar size and similar frequency, so the planning system showed no consistent bias: bookings were not systematically too tight or too generous, and the schedule could not be corrected by padding every case by a fixed amount. The problem was the spread around these averages. Two cases booked for the same duration could finish well apart, and that variability, rather than a tendency to under-book, is what pushes a list past its boundary.</w:t>
      </w:r>
    </w:p>
    <w:p>
      <w:pPr>
        <w:spacing w:after="120" w:before="0" w:line="480" w:lineRule="exact"/>
        <w:jc w:val="left"/>
      </w:pPr>
      <w:r>
        <w:rPr>
          <w:rFonts w:ascii="Times New Roman" w:hAnsi="Times New Roman"/>
          <w:b w:val="0"/>
          <w:i w:val="0"/>
          <w:sz w:val="24"/>
        </w:rPr>
        <w:t>We measured the spread with the coefficient of variation (CV), the standard deviation of duration divided by its mean, which puts cases of different lengths on a comparable scale. Observed-duration CV was highest for short cases (0.54 for under 30 minutes), lowest for mid-length cases (about 0.35 for 61 to 180 minutes), and intermediate for the longest cases (0.42 for over 180 minutes); short cases are proportionally the most variable because a few extra minutes is a large fraction of a brief booking. The CV of the planning error itself was higher still, reaching 1.84 in the over-180-minute bucket, where the spread of the booking error was nearly twice its own average. The schedule was therefore least able to predict the finishing time of the longest cases. These procedures, mainly complex cardiac and oncology cases, clustered in the rooms with the highest overtime, so the rooms that were hardest to plan were also the ones that most often ran late.</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accounted for 14.6% of the volume (11,616 of 79,352). Per case, urgent surgery ran past the shift boundary at more than twice the elective rate (18.2% versus 8.3%, Table 2A), with heavier tails (P95 69 versus 29 minutes). Because elective cases outnumbered urgent cases nearly six to one, the absolute volume of overtime minutes was still dominated by the elective program.</w:t>
      </w:r>
    </w:p>
    <w:p>
      <w:pPr>
        <w:spacing w:after="120" w:before="0" w:line="480" w:lineRule="exact"/>
        <w:jc w:val="left"/>
      </w:pPr>
      <w:r>
        <w:rPr>
          <w:rFonts w:ascii="Times New Roman" w:hAnsi="Times New Roman"/>
          <w:b w:val="0"/>
          <w:i w:val="0"/>
          <w:sz w:val="24"/>
        </w:rPr>
        <w:t>To assess whether urgent cases disrupt the elective program, we counted days on which an urgent case ran in a room while an elective case had been planned in the same room over an overlapping time window (urgent case's actual room and room-in to room-out interval matched the elective case's planned room and planned start-to-end interval). Such overlap occurred on 858 of 1,247 observation days (68.8%, Table 2B). On days with overlap, elective cases started later than on days without, a median difference of approximately 30 minutes, a gap that reached 60 minutes in early 2022 before narrowing. OR11 absorbed the highest overlap burden, with 475 events affecting 15.2% of its elective cases.</w:t>
      </w:r>
    </w:p>
    <w:p>
      <w:pPr>
        <w:spacing w:after="120" w:before="0" w:line="480" w:lineRule="exact"/>
        <w:jc w:val="left"/>
      </w:pPr>
      <w:r>
        <w:rPr>
          <w:rFonts w:ascii="Times New Roman" w:hAnsi="Times New Roman"/>
          <w:b/>
          <w:sz w:val="24"/>
        </w:rPr>
        <w:t>Table 2A. Volume and overtime by urgency.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60" w:lineRule="exact" w:after="0"/>
            </w:pPr>
            <w:r/>
            <w:r>
              <w:rPr>
                <w:rFonts w:ascii="Times New Roman" w:hAnsi="Times New Roman"/>
                <w:b/>
                <w:i w:val="0"/>
                <w:sz w:val="22"/>
              </w:rPr>
              <w:t>Urgency</w:t>
            </w:r>
          </w:p>
        </w:tc>
        <w:tc>
          <w:tcPr>
            <w:tcW w:type="dxa" w:w="1344"/>
          </w:tcPr>
          <w:p>
            <w:pPr>
              <w:spacing w:line="260" w:lineRule="exact" w:after="0"/>
            </w:pPr>
            <w:r/>
            <w:r>
              <w:rPr>
                <w:rFonts w:ascii="Times New Roman" w:hAnsi="Times New Roman"/>
                <w:b/>
                <w:i w:val="0"/>
                <w:sz w:val="22"/>
              </w:rPr>
              <w:t>n</w:t>
            </w:r>
          </w:p>
        </w:tc>
        <w:tc>
          <w:tcPr>
            <w:tcW w:type="dxa" w:w="1344"/>
          </w:tcPr>
          <w:p>
            <w:pPr>
              <w:spacing w:line="260" w:lineRule="exact" w:after="0"/>
            </w:pPr>
            <w:r/>
            <w:r>
              <w:rPr>
                <w:rFonts w:ascii="Times New Roman" w:hAnsi="Times New Roman"/>
                <w:b/>
                <w:i w:val="0"/>
                <w:sz w:val="22"/>
              </w:rPr>
              <w:t>Share</w:t>
            </w:r>
          </w:p>
        </w:tc>
        <w:tc>
          <w:tcPr>
            <w:tcW w:type="dxa" w:w="1344"/>
          </w:tcPr>
          <w:p>
            <w:pPr>
              <w:spacing w:line="260" w:lineRule="exact" w:after="0"/>
            </w:pPr>
            <w:r/>
            <w:r>
              <w:rPr>
                <w:rFonts w:ascii="Times New Roman" w:hAnsi="Times New Roman"/>
                <w:b/>
                <w:i w:val="0"/>
                <w:sz w:val="22"/>
              </w:rPr>
              <w:t>After-hours n</w:t>
            </w:r>
          </w:p>
        </w:tc>
        <w:tc>
          <w:tcPr>
            <w:tcW w:type="dxa" w:w="1344"/>
          </w:tcPr>
          <w:p>
            <w:pPr>
              <w:spacing w:line="260" w:lineRule="exact" w:after="0"/>
            </w:pPr>
            <w:r/>
            <w:r>
              <w:rPr>
                <w:rFonts w:ascii="Times New Roman" w:hAnsi="Times New Roman"/>
                <w:b/>
                <w:i w:val="0"/>
                <w:sz w:val="22"/>
              </w:rPr>
              <w:t>After-hours rate</w:t>
            </w:r>
          </w:p>
        </w:tc>
        <w:tc>
          <w:tcPr>
            <w:tcW w:type="dxa" w:w="1344"/>
          </w:tcPr>
          <w:p>
            <w:pPr>
              <w:spacing w:line="260" w:lineRule="exact" w:after="0"/>
            </w:pPr>
            <w:r/>
            <w:r>
              <w:rPr>
                <w:rFonts w:ascii="Times New Roman" w:hAnsi="Times New Roman"/>
                <w:b/>
                <w:i w:val="0"/>
                <w:sz w:val="22"/>
              </w:rPr>
              <w:t>Mean OT (min)</w:t>
            </w:r>
          </w:p>
        </w:tc>
        <w:tc>
          <w:tcPr>
            <w:tcW w:type="dxa" w:w="1344"/>
          </w:tcPr>
          <w:p>
            <w:pPr>
              <w:spacing w:line="260" w:lineRule="exact" w:after="0"/>
            </w:pPr>
            <w:r/>
            <w:r>
              <w:rPr>
                <w:rFonts w:ascii="Times New Roman" w:hAnsi="Times New Roman"/>
                <w:b/>
                <w:i w:val="0"/>
                <w:sz w:val="22"/>
              </w:rPr>
              <w:t>P95 OT (min)</w:t>
            </w:r>
          </w:p>
        </w:tc>
      </w:tr>
      <w:tr>
        <w:tc>
          <w:tcPr>
            <w:tcW w:type="dxa" w:w="1344"/>
          </w:tcPr>
          <w:p>
            <w:pPr>
              <w:spacing w:line="260" w:lineRule="exact" w:after="0"/>
            </w:pPr>
            <w:r/>
            <w:r>
              <w:rPr>
                <w:rFonts w:ascii="Times New Roman" w:hAnsi="Times New Roman"/>
                <w:b w:val="0"/>
                <w:i w:val="0"/>
                <w:sz w:val="22"/>
              </w:rPr>
              <w:t>Elective</w:t>
            </w:r>
          </w:p>
        </w:tc>
        <w:tc>
          <w:tcPr>
            <w:tcW w:type="dxa" w:w="1344"/>
          </w:tcPr>
          <w:p>
            <w:pPr>
              <w:spacing w:line="260" w:lineRule="exact" w:after="0"/>
            </w:pPr>
            <w:r/>
            <w:r>
              <w:rPr>
                <w:rFonts w:ascii="Times New Roman" w:hAnsi="Times New Roman"/>
                <w:b w:val="0"/>
                <w:i w:val="0"/>
                <w:sz w:val="22"/>
              </w:rPr>
              <w:t>67,736</w:t>
            </w:r>
          </w:p>
        </w:tc>
        <w:tc>
          <w:tcPr>
            <w:tcW w:type="dxa" w:w="1344"/>
          </w:tcPr>
          <w:p>
            <w:pPr>
              <w:spacing w:line="260" w:lineRule="exact" w:after="0"/>
            </w:pPr>
            <w:r/>
            <w:r>
              <w:rPr>
                <w:rFonts w:ascii="Times New Roman" w:hAnsi="Times New Roman"/>
                <w:b w:val="0"/>
                <w:i w:val="0"/>
                <w:sz w:val="22"/>
              </w:rPr>
              <w:t>85.4%</w:t>
            </w:r>
          </w:p>
        </w:tc>
        <w:tc>
          <w:tcPr>
            <w:tcW w:type="dxa" w:w="1344"/>
          </w:tcPr>
          <w:p>
            <w:pPr>
              <w:spacing w:line="260" w:lineRule="exact" w:after="0"/>
            </w:pPr>
            <w:r/>
            <w:r>
              <w:rPr>
                <w:rFonts w:ascii="Times New Roman" w:hAnsi="Times New Roman"/>
                <w:b w:val="0"/>
                <w:i w:val="0"/>
                <w:sz w:val="22"/>
              </w:rPr>
              <w:t>5,620</w:t>
            </w:r>
          </w:p>
        </w:tc>
        <w:tc>
          <w:tcPr>
            <w:tcW w:type="dxa" w:w="1344"/>
          </w:tcPr>
          <w:p>
            <w:pPr>
              <w:spacing w:line="260" w:lineRule="exact" w:after="0"/>
            </w:pPr>
            <w:r/>
            <w:r>
              <w:rPr>
                <w:rFonts w:ascii="Times New Roman" w:hAnsi="Times New Roman"/>
                <w:b w:val="0"/>
                <w:i w:val="0"/>
                <w:sz w:val="22"/>
              </w:rPr>
              <w:t>8.3%</w:t>
            </w:r>
          </w:p>
        </w:tc>
        <w:tc>
          <w:tcPr>
            <w:tcW w:type="dxa" w:w="1344"/>
          </w:tcPr>
          <w:p>
            <w:pPr>
              <w:spacing w:line="260" w:lineRule="exact" w:after="0"/>
            </w:pPr>
            <w:r/>
            <w:r>
              <w:rPr>
                <w:rFonts w:ascii="Times New Roman" w:hAnsi="Times New Roman"/>
                <w:b w:val="0"/>
                <w:i w:val="0"/>
                <w:sz w:val="22"/>
              </w:rPr>
              <w:t>5</w:t>
            </w:r>
          </w:p>
        </w:tc>
        <w:tc>
          <w:tcPr>
            <w:tcW w:type="dxa" w:w="1344"/>
          </w:tcPr>
          <w:p>
            <w:pPr>
              <w:spacing w:line="260" w:lineRule="exact" w:after="0"/>
            </w:pPr>
            <w:r/>
            <w:r>
              <w:rPr>
                <w:rFonts w:ascii="Times New Roman" w:hAnsi="Times New Roman"/>
                <w:b w:val="0"/>
                <w:i w:val="0"/>
                <w:sz w:val="22"/>
              </w:rPr>
              <w:t>29</w:t>
            </w:r>
          </w:p>
        </w:tc>
      </w:tr>
      <w:tr>
        <w:tc>
          <w:tcPr>
            <w:tcW w:type="dxa" w:w="1344"/>
          </w:tcPr>
          <w:p>
            <w:pPr>
              <w:spacing w:line="260" w:lineRule="exact" w:after="0"/>
            </w:pPr>
            <w:r/>
            <w:r>
              <w:rPr>
                <w:rFonts w:ascii="Times New Roman" w:hAnsi="Times New Roman"/>
                <w:b w:val="0"/>
                <w:i w:val="0"/>
                <w:sz w:val="22"/>
              </w:rPr>
              <w:t>Non-elective</w:t>
            </w:r>
          </w:p>
        </w:tc>
        <w:tc>
          <w:tcPr>
            <w:tcW w:type="dxa" w:w="1344"/>
          </w:tcPr>
          <w:p>
            <w:pPr>
              <w:spacing w:line="260" w:lineRule="exact" w:after="0"/>
            </w:pPr>
            <w:r/>
            <w:r>
              <w:rPr>
                <w:rFonts w:ascii="Times New Roman" w:hAnsi="Times New Roman"/>
                <w:b w:val="0"/>
                <w:i w:val="0"/>
                <w:sz w:val="22"/>
              </w:rPr>
              <w:t>11,616</w:t>
            </w:r>
          </w:p>
        </w:tc>
        <w:tc>
          <w:tcPr>
            <w:tcW w:type="dxa" w:w="1344"/>
          </w:tcPr>
          <w:p>
            <w:pPr>
              <w:spacing w:line="260" w:lineRule="exact" w:after="0"/>
            </w:pPr>
            <w:r/>
            <w:r>
              <w:rPr>
                <w:rFonts w:ascii="Times New Roman" w:hAnsi="Times New Roman"/>
                <w:b w:val="0"/>
                <w:i w:val="0"/>
                <w:sz w:val="22"/>
              </w:rPr>
              <w:t>14.6%</w:t>
            </w:r>
          </w:p>
        </w:tc>
        <w:tc>
          <w:tcPr>
            <w:tcW w:type="dxa" w:w="1344"/>
          </w:tcPr>
          <w:p>
            <w:pPr>
              <w:spacing w:line="260" w:lineRule="exact" w:after="0"/>
            </w:pPr>
            <w:r/>
            <w:r>
              <w:rPr>
                <w:rFonts w:ascii="Times New Roman" w:hAnsi="Times New Roman"/>
                <w:b w:val="0"/>
                <w:i w:val="0"/>
                <w:sz w:val="22"/>
              </w:rPr>
              <w:t>2,109</w:t>
            </w:r>
          </w:p>
        </w:tc>
        <w:tc>
          <w:tcPr>
            <w:tcW w:type="dxa" w:w="1344"/>
          </w:tcPr>
          <w:p>
            <w:pPr>
              <w:spacing w:line="260" w:lineRule="exact" w:after="0"/>
            </w:pPr>
            <w:r/>
            <w:r>
              <w:rPr>
                <w:rFonts w:ascii="Times New Roman" w:hAnsi="Times New Roman"/>
                <w:b w:val="0"/>
                <w:i w:val="0"/>
                <w:sz w:val="22"/>
              </w:rPr>
              <w:t>18.2%</w:t>
            </w:r>
          </w:p>
        </w:tc>
        <w:tc>
          <w:tcPr>
            <w:tcW w:type="dxa" w:w="1344"/>
          </w:tcPr>
          <w:p>
            <w:pPr>
              <w:spacing w:line="260" w:lineRule="exact" w:after="0"/>
            </w:pPr>
            <w:r/>
            <w:r>
              <w:rPr>
                <w:rFonts w:ascii="Times New Roman" w:hAnsi="Times New Roman"/>
                <w:b w:val="0"/>
                <w:i w:val="0"/>
                <w:sz w:val="22"/>
              </w:rPr>
              <w:t>10.7</w:t>
            </w:r>
          </w:p>
        </w:tc>
        <w:tc>
          <w:tcPr>
            <w:tcW w:type="dxa" w:w="1344"/>
          </w:tcPr>
          <w:p>
            <w:pPr>
              <w:spacing w:line="260" w:lineRule="exact" w:after="0"/>
            </w:pPr>
            <w:r/>
            <w:r>
              <w:rPr>
                <w:rFonts w:ascii="Times New Roman" w:hAnsi="Times New Roman"/>
                <w:b w:val="0"/>
                <w:i w:val="0"/>
                <w:sz w:val="22"/>
              </w:rPr>
              <w:t>69</w:t>
            </w:r>
          </w:p>
        </w:tc>
      </w:tr>
      <w:tr>
        <w:tc>
          <w:tcPr>
            <w:tcW w:type="dxa" w:w="1344"/>
          </w:tcPr>
          <w:p>
            <w:pPr>
              <w:spacing w:line="260" w:lineRule="exact" w:after="0"/>
            </w:pPr>
            <w:r/>
            <w:r>
              <w:rPr>
                <w:rFonts w:ascii="Times New Roman" w:hAnsi="Times New Roman"/>
                <w:b/>
                <w:sz w:val="22"/>
              </w:rPr>
              <w:t>Total</w:t>
            </w:r>
          </w:p>
        </w:tc>
        <w:tc>
          <w:tcPr>
            <w:tcW w:type="dxa" w:w="1344"/>
          </w:tcPr>
          <w:p>
            <w:pPr>
              <w:spacing w:line="260" w:lineRule="exact" w:after="0"/>
            </w:pPr>
            <w:r/>
            <w:r>
              <w:rPr>
                <w:rFonts w:ascii="Times New Roman" w:hAnsi="Times New Roman"/>
                <w:b/>
                <w:sz w:val="22"/>
              </w:rPr>
              <w:t>79,352</w:t>
            </w:r>
          </w:p>
        </w:tc>
        <w:tc>
          <w:tcPr>
            <w:tcW w:type="dxa" w:w="1344"/>
          </w:tcPr>
          <w:p>
            <w:pPr>
              <w:spacing w:line="260" w:lineRule="exact" w:after="0"/>
            </w:pPr>
            <w:r/>
            <w:r>
              <w:rPr>
                <w:rFonts w:ascii="Times New Roman" w:hAnsi="Times New Roman"/>
                <w:b/>
                <w:sz w:val="22"/>
              </w:rPr>
              <w:t>100%</w:t>
            </w:r>
          </w:p>
        </w:tc>
        <w:tc>
          <w:tcPr>
            <w:tcW w:type="dxa" w:w="1344"/>
          </w:tcPr>
          <w:p>
            <w:pPr>
              <w:spacing w:line="260" w:lineRule="exact" w:after="0"/>
            </w:pPr>
            <w:r/>
            <w:r>
              <w:rPr>
                <w:rFonts w:ascii="Times New Roman" w:hAnsi="Times New Roman"/>
                <w:b/>
                <w:sz w:val="22"/>
              </w:rPr>
              <w:t>7,729</w:t>
            </w:r>
          </w:p>
        </w:tc>
        <w:tc>
          <w:tcPr>
            <w:tcW w:type="dxa" w:w="1344"/>
          </w:tcPr>
          <w:p>
            <w:pPr>
              <w:spacing w:line="260" w:lineRule="exact" w:after="0"/>
            </w:pPr>
            <w:r/>
            <w:r>
              <w:rPr>
                <w:rFonts w:ascii="Times New Roman" w:hAnsi="Times New Roman"/>
                <w:b/>
                <w:sz w:val="22"/>
              </w:rPr>
              <w:t>9.7%</w:t>
            </w:r>
          </w:p>
        </w:tc>
        <w:tc>
          <w:tcPr>
            <w:tcW w:type="dxa" w:w="1344"/>
          </w:tcPr>
          <w:p>
            <w:pPr>
              <w:spacing w:line="260" w:lineRule="exact" w:after="0"/>
            </w:pPr>
            <w:r/>
            <w:r>
              <w:rPr>
                <w:rFonts w:ascii="Times New Roman" w:hAnsi="Times New Roman"/>
                <w:b w:val="0"/>
                <w:i w:val="0"/>
                <w:sz w:val="22"/>
              </w:rPr>
              <w:t>–</w:t>
            </w:r>
          </w:p>
        </w:tc>
        <w:tc>
          <w:tcPr>
            <w:tcW w:type="dxa" w:w="1344"/>
          </w:tcPr>
          <w:p>
            <w:pPr>
              <w:spacing w:line="260" w:lineRule="exact" w:after="0"/>
            </w:pPr>
            <w:r/>
            <w:r>
              <w:rPr>
                <w:rFonts w:ascii="Times New Roman" w:hAnsi="Times New Roman"/>
                <w:b w:val="0"/>
                <w:i w:val="0"/>
                <w:sz w:val="22"/>
              </w:rPr>
              <w:t>–</w:t>
            </w:r>
          </w:p>
        </w:tc>
      </w:tr>
    </w:tbl>
    <w:p>
      <w:pPr>
        <w:spacing w:line="120" w:lineRule="exact"/>
      </w:pPr>
    </w:p>
    <w:p>
      <w:pPr>
        <w:spacing w:after="120" w:before="0" w:line="480" w:lineRule="exact"/>
        <w:jc w:val="left"/>
      </w:pPr>
      <w:r>
        <w:rPr>
          <w:rFonts w:ascii="Times New Roman" w:hAnsi="Times New Roman"/>
          <w:b/>
          <w:sz w:val="24"/>
        </w:rPr>
        <w:t>Table 2B. Urgent–elective overlap in the same room.</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Metric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Days with at least one urgent–elective overlap</w:t>
            </w:r>
          </w:p>
        </w:tc>
        <w:tc>
          <w:tcPr>
            <w:tcW w:type="dxa" w:w="4703"/>
          </w:tcPr>
          <w:p>
            <w:pPr>
              <w:spacing w:line="260" w:lineRule="exact" w:after="0"/>
            </w:pPr>
            <w:r/>
            <w:r>
              <w:rPr>
                <w:rFonts w:ascii="Times New Roman" w:hAnsi="Times New Roman"/>
                <w:b w:val="0"/>
                <w:i w:val="0"/>
                <w:sz w:val="22"/>
              </w:rPr>
              <w:t>858 of 1,247 (68.8%)</w:t>
            </w:r>
          </w:p>
        </w:tc>
      </w:tr>
      <w:tr>
        <w:tc>
          <w:tcPr>
            <w:tcW w:type="dxa" w:w="4703"/>
          </w:tcPr>
          <w:p>
            <w:pPr>
              <w:spacing w:line="260" w:lineRule="exact" w:after="0"/>
            </w:pPr>
            <w:r/>
            <w:r>
              <w:rPr>
                <w:rFonts w:ascii="Times New Roman" w:hAnsi="Times New Roman"/>
                <w:b w:val="0"/>
                <w:i w:val="0"/>
                <w:sz w:val="22"/>
              </w:rPr>
              <w:t>Highest-burden room (OR11)</w:t>
            </w:r>
          </w:p>
        </w:tc>
        <w:tc>
          <w:tcPr>
            <w:tcW w:type="dxa" w:w="4703"/>
          </w:tcPr>
          <w:p>
            <w:pPr>
              <w:spacing w:line="260" w:lineRule="exact" w:after="0"/>
            </w:pPr>
            <w:r/>
            <w:r>
              <w:rPr>
                <w:rFonts w:ascii="Times New Roman" w:hAnsi="Times New Roman"/>
                <w:b w:val="0"/>
                <w:i w:val="0"/>
                <w:sz w:val="22"/>
              </w:rPr>
              <w:t>475 events; 15.2% of OR11 elective cases</w:t>
            </w:r>
          </w:p>
        </w:tc>
      </w:tr>
      <w:tr>
        <w:tc>
          <w:tcPr>
            <w:tcW w:type="dxa" w:w="4703"/>
          </w:tcPr>
          <w:p>
            <w:pPr>
              <w:spacing w:line="260" w:lineRule="exact" w:after="0"/>
            </w:pPr>
            <w:r/>
            <w:r>
              <w:rPr>
                <w:rFonts w:ascii="Times New Roman" w:hAnsi="Times New Roman"/>
                <w:b w:val="0"/>
                <w:i w:val="0"/>
                <w:sz w:val="22"/>
              </w:rPr>
              <w:t>Median start delay at OR11 (no overlap)</w:t>
            </w:r>
          </w:p>
        </w:tc>
        <w:tc>
          <w:tcPr>
            <w:tcW w:type="dxa" w:w="4703"/>
          </w:tcPr>
          <w:p>
            <w:pPr>
              <w:spacing w:line="260" w:lineRule="exact" w:after="0"/>
            </w:pPr>
            <w:r/>
            <w:r>
              <w:rPr>
                <w:rFonts w:ascii="Times New Roman" w:hAnsi="Times New Roman"/>
                <w:b w:val="0"/>
                <w:i w:val="0"/>
                <w:sz w:val="22"/>
              </w:rPr>
              <w:t>28 min</w:t>
            </w:r>
          </w:p>
        </w:tc>
      </w:tr>
      <w:tr>
        <w:tc>
          <w:tcPr>
            <w:tcW w:type="dxa" w:w="4703"/>
          </w:tcPr>
          <w:p>
            <w:pPr>
              <w:spacing w:line="260" w:lineRule="exact" w:after="0"/>
            </w:pPr>
            <w:r/>
            <w:r>
              <w:rPr>
                <w:rFonts w:ascii="Times New Roman" w:hAnsi="Times New Roman"/>
                <w:b w:val="0"/>
                <w:i w:val="0"/>
                <w:sz w:val="22"/>
              </w:rPr>
              <w:t>Median start delay at OR11 (overlap)</w:t>
            </w:r>
          </w:p>
        </w:tc>
        <w:tc>
          <w:tcPr>
            <w:tcW w:type="dxa" w:w="4703"/>
          </w:tcPr>
          <w:p>
            <w:pPr>
              <w:spacing w:line="260" w:lineRule="exact" w:after="0"/>
            </w:pPr>
            <w:r/>
            <w:r>
              <w:rPr>
                <w:rFonts w:ascii="Times New Roman" w:hAnsi="Times New Roman"/>
                <w:b w:val="0"/>
                <w:i w:val="0"/>
                <w:sz w:val="22"/>
              </w:rPr>
              <w:t>60 min</w:t>
            </w:r>
          </w:p>
        </w:tc>
      </w:tr>
    </w:tbl>
    <w:p>
      <w:pPr>
        <w:spacing w:line="120" w:lineRule="exact"/>
      </w:pPr>
    </w:p>
    <w:p>
      <w:pPr>
        <w:spacing w:after="120" w:before="0" w:line="480" w:lineRule="exact"/>
        <w:jc w:val="left"/>
      </w:pPr>
      <w:r>
        <w:rPr>
          <w:rFonts w:ascii="Times New Roman" w:hAnsi="Times New Roman"/>
          <w:i/>
          <w:sz w:val="24"/>
        </w:rPr>
        <w:t>Start-time punctuality.</w:t>
      </w:r>
      <w:r>
        <w:rPr>
          <w:rFonts w:ascii="Times New Roman" w:hAnsi="Times New Roman"/>
          <w:b w:val="0"/>
          <w:i w:val="0"/>
          <w:sz w:val="24"/>
        </w:rPr>
        <w:t xml:space="preserve"> Across all cases and rooms, 67.4% started later than their planned time, with a mean delay of 74.6 minutes and a median of 28 minutes among late cases. At the room level, late-start rate showed no significant correlation with overtime rate (Spearman rho = −0.29, p = 0.24). The direction of the association was negative: rooms with higher late-start rates tended to have lower overtime rates rather than higher ones. OR10 had the lowest late-start rate of all 18 rooms (46.1%) yet the highest overtime rate (32.9%); OR14 had a late-start rate of 78.7% yet the lowest overtime rate (3.5%); OR11 had the highest late-start rate (82.4%) with a mid-range overtime rate (11.7%). This is consistent with Pandit et al., who reported R-squared values of 0.04 to 0.08 between start and finish times across more than 7,000 operating room lists.</w:t>
      </w:r>
      <w:r>
        <w:rPr>
          <w:rFonts w:ascii="Times New Roman" w:hAnsi="Times New Roman"/>
          <w:sz w:val="24"/>
          <w:vertAlign w:val="superscript"/>
        </w:rPr>
        <w:t>23</w:t>
      </w:r>
      <w:r>
        <w:rPr>
          <w:rFonts w:ascii="Times New Roman" w:hAnsi="Times New Roman"/>
          <w:b w:val="0"/>
          <w:i w:val="0"/>
          <w:sz w:val="24"/>
        </w:rPr>
        <w:t xml:space="preserve"> Start-time punctuality was therefore not associated with where overtime accumulates at the room level.</w:t>
      </w:r>
    </w:p>
    <w:p>
      <w:pPr>
        <w:spacing w:after="120" w:before="0" w:line="480" w:lineRule="exact"/>
        <w:jc w:val="left"/>
      </w:pPr>
      <w:r>
        <w:rPr>
          <w:rFonts w:ascii="Times New Roman" w:hAnsi="Times New Roman"/>
          <w:i/>
          <w:sz w:val="24"/>
        </w:rPr>
        <w:t>Inter-case idle time.</w:t>
      </w:r>
      <w:r>
        <w:rPr>
          <w:rFonts w:ascii="Times New Roman" w:hAnsi="Times New Roman"/>
          <w:b w:val="0"/>
          <w:i w:val="0"/>
          <w:sz w:val="24"/>
        </w:rPr>
        <w:t xml:space="preserve"> Across all 18 rooms, inter-case idle time had a median of 8 minutes and a mean of 9.9 minutes.</w:t>
      </w:r>
      <w:r>
        <w:rPr>
          <w:rFonts w:ascii="Times New Roman" w:hAnsi="Times New Roman"/>
          <w:sz w:val="24"/>
          <w:vertAlign w:val="superscript"/>
        </w:rPr>
        <w:t>22</w:t>
      </w:r>
      <w:r>
        <w:rPr>
          <w:rFonts w:ascii="Times New Roman" w:hAnsi="Times New Roman"/>
          <w:b w:val="0"/>
          <w:i w:val="0"/>
          <w:sz w:val="24"/>
        </w:rPr>
        <w:t xml:space="preserve"> At the room level, mean idle time was positively correlated with overtime rate (Spearman rho = 0.89, p &lt; 0.001), driven largely by OR10, which had both the highest mean idle time (22.6 minutes) and the highest overtime rate (32.9%). Excluding OR10, the pattern did not hold consistently across the remaining rooms. The elevated idle time in OR10 most plausibly reflects preparation demands between complex cardiac cases rather than inefficient turnover, and is better understood as a marker of case-mix complexity than as a scheduling inefficiency. Inter-case turnover was therefore not identified as an independent contributor to room-level overtime.</w:t>
      </w:r>
    </w:p>
    <w:p>
      <w:pPr>
        <w:spacing w:after="120" w:before="0" w:line="480" w:lineRule="exact"/>
        <w:jc w:val="left"/>
      </w:pPr>
      <w:r>
        <w:rPr>
          <w:rFonts w:ascii="Times New Roman" w:hAnsi="Times New Roman"/>
          <w:i/>
          <w:sz w:val="24"/>
        </w:rPr>
        <w:t>Room swaps.</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w:t>
      </w:r>
    </w:p>
    <w:p>
      <w:pPr>
        <w:spacing w:before="32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single-center analysis of 79,352 cases, overtime was not a diffuse hospital-wide phenomenon. The aggregate rate (9.7%) hid a near ten-fold spread across rooms (3.5 to 32.9%). The factors most visibly associated with the room-level pattern were case-mix complexity and routine urgent-elective overlap; start-time punctuality and inter-case idle time were not.</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The distribution, however, is uneven: OR10 ran overtime in roughly one of every three cases, while OR14 ran 3.5%. Hospital-wide targets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and the highest planned durations (complex cardiac and oncology cases) clustered in the rooms with the highest overtime. This concentration suggests that case-mix complexity, rather than scheduling inefficiency alone, accounts for much of the room-level variation. Wachtel and Dexter described, in a large operational dataset, how tardiness grows as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and Fugener et al. documented systematic biases in surgeons' duration estimates that compound across a list.</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was associated with a median difference of approximately 30 minutes in elective start times. This makes urgent arrivals a routine scheduling factor rather than an exception. The hospital already operates dedicated rooms for urgent cases, yet this overlap still occurs, so protecting the elective program may require additional scheduling buffers or capacity reallocation rather than reactive rescheduling alone.</w:t>
      </w:r>
    </w:p>
    <w:p>
      <w:pPr>
        <w:spacing w:after="120" w:before="0" w:line="480" w:lineRule="exact"/>
        <w:jc w:val="left"/>
      </w:pPr>
      <w:r>
        <w:rPr>
          <w:rFonts w:ascii="Times New Roman" w:hAnsi="Times New Roman"/>
          <w:b w:val="0"/>
          <w:i w:val="0"/>
          <w:sz w:val="24"/>
        </w:rPr>
        <w:t>A common assumption is that first-case-on-time-start (FCOTS)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We tested a broader version of this hypothesis using the per-room late-start rate across all scheduled cases, not only first cases. At the room level, late-start rate and overtime rate were not significantly correlated (Spearman rho = −0.29, p = 0.24), and the room with the lowest late-start rate (OR10, 46.1%) had the highest overtime (32.9%), while a room with one of the highest late-start rates (OR14, 78.7%) had the lowest overtime (3.5%). Pandit et al. reported a similar disconnect across more than 7,000 operating room lists.</w:t>
      </w:r>
      <w:r>
        <w:rPr>
          <w:rFonts w:ascii="Times New Roman" w:hAnsi="Times New Roman"/>
          <w:sz w:val="24"/>
          <w:vertAlign w:val="superscript"/>
        </w:rPr>
        <w:t>23</w:t>
      </w:r>
      <w:r>
        <w:rPr>
          <w:rFonts w:ascii="Times New Roman" w:hAnsi="Times New Roman"/>
          <w:b w:val="0"/>
          <w:i w:val="0"/>
          <w:sz w:val="24"/>
        </w:rPr>
        <w:t xml:space="preserve"> We do not conclude that FCOTS is unimportant; it remains a reasonable discipline marker. In this dataset, however,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i/>
          <w:sz w:val="24"/>
        </w:rPr>
        <w:t>Operational implication.</w:t>
      </w:r>
      <w:r>
        <w:rPr>
          <w:rFonts w:ascii="Times New Roman" w:hAnsi="Times New Roman"/>
          <w:b w:val="0"/>
          <w:i w:val="0"/>
          <w:sz w:val="24"/>
        </w:rPr>
        <w:t xml:space="preserve"> Room-level monitoring should take precedence over hospital-wide overtime targets, and scheduling should treat urgent-case flow as a routine planning input rather than an exception.</w:t>
      </w:r>
    </w:p>
    <w:p>
      <w:pPr>
        <w:spacing w:after="120" w:before="0" w:line="480" w:lineRule="exact"/>
        <w:jc w:val="left"/>
      </w:pPr>
      <w:r>
        <w:rPr>
          <w:rFonts w:ascii="Times New Roman" w:hAnsi="Times New Roman"/>
          <w:i/>
          <w:sz w:val="24"/>
        </w:rPr>
        <w:t>Clinical implication.</w:t>
      </w:r>
      <w:r>
        <w:rPr>
          <w:rFonts w:ascii="Times New Roman" w:hAnsi="Times New Roman"/>
          <w:b w:val="0"/>
          <w:i w:val="0"/>
          <w:sz w:val="24"/>
        </w:rPr>
        <w:t xml:space="preserve"> The overtime documented here is operationally comparable to the exposure that other studies have linked to staff fatigue, elevated after-hours mortality, and increased complication risk (references 2–13). Whether these harms are present in this cohort cannot be determined from administrative data alone; direct measurement of patient and staff outcomes associated with room-level overtime remains an important next step for future research.</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it is unknown whether the concentration pattern holds across hospitals with different staffing models. The administrative data provide only room-in and room-out times, so we cannot infer what happens inside the case. We do not measure patient or staff outcomes directly; the harm argument rests on published literature, not on complications or burnout scores from this cohort.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mortality studies whose effect sizes vary widely (adjusted odds ratios of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Readers should weigh the after-hours mortality evidence with this uncertainty in mind.</w:t>
      </w:r>
    </w:p>
    <w:p>
      <w:pPr>
        <w:spacing w:before="32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with case-mix complexity and unplanned urgent-case disruption of the elective programme as the most strongly associated factors. Start-time punctuality and inter-case idle time were not associated with room-level overtime. The findings support room-level rather than hospital-level overtime monitoring and scheduling interventions that account for urgent-case flow.</w:t>
      </w:r>
    </w:p>
    <w:p>
      <w:pPr>
        <w:spacing w:before="320" w:after="120" w:line="480" w:lineRule="exact"/>
        <w:jc w:val="left"/>
      </w:pPr>
      <w:r>
        <w:rPr>
          <w:rFonts w:ascii="Times New Roman" w:hAnsi="Times New Roman"/>
          <w:b/>
          <w:sz w:val="24"/>
        </w:rPr>
        <w:t>ACKNOWLEDGEMENTS</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320" w:after="120" w:line="480" w:lineRule="exact"/>
        <w:jc w:val="left"/>
      </w:pPr>
      <w:r>
        <w:rPr>
          <w:rFonts w:ascii="Times New Roman" w:hAnsi="Times New Roman"/>
          <w:b/>
          <w:sz w:val="24"/>
        </w:rPr>
        <w:t>FUNDING</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hospital's research office.</w:t>
      </w:r>
    </w:p>
    <w:p>
      <w:pPr>
        <w:spacing w:before="320" w:after="120" w:line="480" w:lineRule="exact"/>
        <w:jc w:val="left"/>
      </w:pPr>
      <w:r>
        <w:rPr>
          <w:rFonts w:ascii="Times New Roman" w:hAnsi="Times New Roman"/>
          <w:b/>
          <w:sz w:val="24"/>
        </w:rPr>
        <w:t>REFERENCES</w:t>
      </w:r>
    </w:p>
    <w:p>
      <w:pPr>
        <w:spacing w:after="60" w:before="0" w:line="480" w:lineRule="exact"/>
        <w:jc w:val="left"/>
      </w:pPr>
      <w:r>
        <w:rPr>
          <w:rFonts w:ascii="Times New Roman" w:hAnsi="Times New Roman"/>
          <w:b w:val="0"/>
          <w:i w:val="0"/>
          <w:sz w:val="24"/>
        </w:rPr>
        <w:t xml:space="preserve">1. Wachtel RE, Dexter F. Review of behavioral operations experimental studies of newsvendor problems for operating room management. </w:t>
      </w:r>
      <w:r>
        <w:rPr>
          <w:rFonts w:ascii="Times New Roman" w:hAnsi="Times New Roman"/>
          <w:i/>
          <w:sz w:val="24"/>
        </w:rPr>
        <w:t>Anesth Analg</w:t>
      </w:r>
      <w:r>
        <w:rPr>
          <w:rFonts w:ascii="Times New Roman" w:hAnsi="Times New Roman"/>
          <w:b w:val="0"/>
          <w:i w:val="0"/>
          <w:sz w:val="24"/>
        </w:rPr>
        <w:t xml:space="preserve"> 2010;110(6):1698-1710.</w:t>
      </w:r>
    </w:p>
    <w:p>
      <w:pPr>
        <w:spacing w:after="60" w:before="0" w:line="480" w:lineRule="exact"/>
        <w:jc w:val="left"/>
      </w:pPr>
      <w:r>
        <w:rPr>
          <w:rFonts w:ascii="Times New Roman" w:hAnsi="Times New Roman"/>
          <w:b w:val="0"/>
          <w:i w:val="0"/>
          <w:sz w:val="24"/>
        </w:rPr>
        <w:t xml:space="preserve">2. Griffiths P, Dall'Ora C, Simon M, et al. Nurses' shift length and overtime working in 12 European countries: the association with perceived quality of care and patient safety. </w:t>
      </w:r>
      <w:r>
        <w:rPr>
          <w:rFonts w:ascii="Times New Roman" w:hAnsi="Times New Roman"/>
          <w:i/>
          <w:sz w:val="24"/>
        </w:rPr>
        <w:t>Med Care</w:t>
      </w:r>
      <w:r>
        <w:rPr>
          <w:rFonts w:ascii="Times New Roman" w:hAnsi="Times New Roman"/>
          <w:b w:val="0"/>
          <w:i w:val="0"/>
          <w:sz w:val="24"/>
        </w:rPr>
        <w:t xml:space="preserve"> 2014;52(11):975-81.</w:t>
      </w:r>
    </w:p>
    <w:p>
      <w:pPr>
        <w:spacing w:after="60" w:before="0" w:line="480" w:lineRule="exact"/>
        <w:jc w:val="left"/>
      </w:pPr>
      <w:r>
        <w:rPr>
          <w:rFonts w:ascii="Times New Roman" w:hAnsi="Times New Roman"/>
          <w:b w:val="0"/>
          <w:i w:val="0"/>
          <w:sz w:val="24"/>
        </w:rPr>
        <w:t xml:space="preserve">3. Dall'Ora C, Griffiths P, Ball J, et al. Association of 12 h shifts and nurses' job satisfaction, burnout and intention to leave: findings from a cross-sectional study of 12 European countries. </w:t>
      </w:r>
      <w:r>
        <w:rPr>
          <w:rFonts w:ascii="Times New Roman" w:hAnsi="Times New Roman"/>
          <w:i/>
          <w:sz w:val="24"/>
        </w:rPr>
        <w:t>BMJ Open</w:t>
      </w:r>
      <w:r>
        <w:rPr>
          <w:rFonts w:ascii="Times New Roman" w:hAnsi="Times New Roman"/>
          <w:b w:val="0"/>
          <w:i w:val="0"/>
          <w:sz w:val="24"/>
        </w:rPr>
        <w:t xml:space="preserve"> 2015;5(9):e008331.</w:t>
      </w:r>
    </w:p>
    <w:p>
      <w:pPr>
        <w:spacing w:after="60" w:before="0" w:line="480" w:lineRule="exact"/>
        <w:jc w:val="left"/>
      </w:pPr>
      <w:r>
        <w:rPr>
          <w:rFonts w:ascii="Times New Roman" w:hAnsi="Times New Roman"/>
          <w:b w:val="0"/>
          <w:i w:val="0"/>
          <w:sz w:val="24"/>
        </w:rPr>
        <w:t xml:space="preserve">4. Bae S-H. Nurse staffing, work hours, mandatory overtime, and turnover in acute care hospitals affect nurse job satisfaction, intent to leave, and burnout: a cross-sectional study. </w:t>
      </w:r>
      <w:r>
        <w:rPr>
          <w:rFonts w:ascii="Times New Roman" w:hAnsi="Times New Roman"/>
          <w:i/>
          <w:sz w:val="24"/>
        </w:rPr>
        <w:t>Int J Public Health</w:t>
      </w:r>
      <w:r>
        <w:rPr>
          <w:rFonts w:ascii="Times New Roman" w:hAnsi="Times New Roman"/>
          <w:b w:val="0"/>
          <w:i w:val="0"/>
          <w:sz w:val="24"/>
        </w:rPr>
        <w:t xml:space="preserve"> 2024;69:1607068.</w:t>
      </w:r>
    </w:p>
    <w:p>
      <w:pPr>
        <w:spacing w:after="60" w:before="0" w:line="480" w:lineRule="exact"/>
        <w:jc w:val="left"/>
      </w:pPr>
      <w:r>
        <w:rPr>
          <w:rFonts w:ascii="Times New Roman" w:hAnsi="Times New Roman"/>
          <w:b w:val="0"/>
          <w:i w:val="0"/>
          <w:sz w:val="24"/>
        </w:rPr>
        <w:t xml:space="preserve">5. Dall'Ora C, Ball J, Recio-Saucedo A, Griffiths P. Characteristics of shift work and their impact on employee performance and wellbeing: a literature review. </w:t>
      </w:r>
      <w:r>
        <w:rPr>
          <w:rFonts w:ascii="Times New Roman" w:hAnsi="Times New Roman"/>
          <w:i/>
          <w:sz w:val="24"/>
        </w:rPr>
        <w:t>Int J Nurs Stud</w:t>
      </w:r>
      <w:r>
        <w:rPr>
          <w:rFonts w:ascii="Times New Roman" w:hAnsi="Times New Roman"/>
          <w:b w:val="0"/>
          <w:i w:val="0"/>
          <w:sz w:val="24"/>
        </w:rPr>
        <w:t xml:space="preserve"> 2016;57:12-27.</w:t>
      </w:r>
    </w:p>
    <w:p>
      <w:pPr>
        <w:spacing w:after="60" w:before="0" w:line="480" w:lineRule="exact"/>
        <w:jc w:val="left"/>
      </w:pPr>
      <w:r>
        <w:rPr>
          <w:rFonts w:ascii="Times New Roman" w:hAnsi="Times New Roman"/>
          <w:b w:val="0"/>
          <w:i w:val="0"/>
          <w:sz w:val="24"/>
        </w:rPr>
        <w:t xml:space="preserve">6. Dall'Ora C, Ball J, Reinius M, Griffiths P. Burnout in nursing: a theoretical review. </w:t>
      </w:r>
      <w:r>
        <w:rPr>
          <w:rFonts w:ascii="Times New Roman" w:hAnsi="Times New Roman"/>
          <w:i/>
          <w:sz w:val="24"/>
        </w:rPr>
        <w:t>Hum Resour Health</w:t>
      </w:r>
      <w:r>
        <w:rPr>
          <w:rFonts w:ascii="Times New Roman" w:hAnsi="Times New Roman"/>
          <w:b w:val="0"/>
          <w:i w:val="0"/>
          <w:sz w:val="24"/>
        </w:rPr>
        <w:t xml:space="preserve"> 2020;18:41.</w:t>
      </w:r>
    </w:p>
    <w:p>
      <w:pPr>
        <w:spacing w:after="60" w:before="0" w:line="480" w:lineRule="exact"/>
        <w:jc w:val="left"/>
      </w:pPr>
      <w:r>
        <w:rPr>
          <w:rFonts w:ascii="Times New Roman" w:hAnsi="Times New Roman"/>
          <w:b w:val="0"/>
          <w:i w:val="0"/>
          <w:sz w:val="24"/>
        </w:rPr>
        <w:t xml:space="preserve">7. Cortegiani A, Ippolito M, Misseri G, et al. Association between night/after-hours surgery and mortality: a systematic review and meta-analysis. </w:t>
      </w:r>
      <w:r>
        <w:rPr>
          <w:rFonts w:ascii="Times New Roman" w:hAnsi="Times New Roman"/>
          <w:i/>
          <w:sz w:val="24"/>
        </w:rPr>
        <w:t>Br J Anaesth</w:t>
      </w:r>
      <w:r>
        <w:rPr>
          <w:rFonts w:ascii="Times New Roman" w:hAnsi="Times New Roman"/>
          <w:b w:val="0"/>
          <w:i w:val="0"/>
          <w:sz w:val="24"/>
        </w:rPr>
        <w:t xml:space="preserve"> 2020;124(5):623-37.</w:t>
      </w:r>
    </w:p>
    <w:p>
      <w:pPr>
        <w:spacing w:after="60" w:before="0" w:line="480" w:lineRule="exact"/>
        <w:jc w:val="left"/>
      </w:pPr>
      <w:r>
        <w:rPr>
          <w:rFonts w:ascii="Times New Roman" w:hAnsi="Times New Roman"/>
          <w:b w:val="0"/>
          <w:i w:val="0"/>
          <w:sz w:val="24"/>
        </w:rPr>
        <w:t xml:space="preserve">8. Oh T-K, Song I-A. Outcomes of after-hours surgeries performed under general anaesthesia: a South Korean nationwide cohort study. </w:t>
      </w:r>
      <w:r>
        <w:rPr>
          <w:rFonts w:ascii="Times New Roman" w:hAnsi="Times New Roman"/>
          <w:i/>
          <w:sz w:val="24"/>
        </w:rPr>
        <w:t>Anaesthesia</w:t>
      </w:r>
      <w:r>
        <w:rPr>
          <w:rFonts w:ascii="Times New Roman" w:hAnsi="Times New Roman"/>
          <w:b w:val="0"/>
          <w:i w:val="0"/>
          <w:sz w:val="24"/>
        </w:rPr>
        <w:t xml:space="preserve"> 2025. DOI: 10.1111/anae.16559.</w:t>
      </w:r>
    </w:p>
    <w:p>
      <w:pPr>
        <w:spacing w:after="60" w:before="0" w:line="480" w:lineRule="exact"/>
        <w:jc w:val="left"/>
      </w:pPr>
      <w:r>
        <w:rPr>
          <w:rFonts w:ascii="Times New Roman" w:hAnsi="Times New Roman"/>
          <w:b w:val="0"/>
          <w:i w:val="0"/>
          <w:sz w:val="24"/>
        </w:rPr>
        <w:t xml:space="preserve">9. Sakurai T. Assessing the influence of after-hours surgery: concerns with the confounders and conclusion. </w:t>
      </w:r>
      <w:r>
        <w:rPr>
          <w:rFonts w:ascii="Times New Roman" w:hAnsi="Times New Roman"/>
          <w:i/>
          <w:sz w:val="24"/>
        </w:rPr>
        <w:t>Anaesthesia</w:t>
      </w:r>
      <w:r>
        <w:rPr>
          <w:rFonts w:ascii="Times New Roman" w:hAnsi="Times New Roman"/>
          <w:b w:val="0"/>
          <w:i w:val="0"/>
          <w:sz w:val="24"/>
        </w:rPr>
        <w:t xml:space="preserve"> 2025. DOI: 10.1111/anae.16591.</w:t>
      </w:r>
    </w:p>
    <w:p>
      <w:pPr>
        <w:spacing w:after="60" w:before="0" w:line="480" w:lineRule="exact"/>
        <w:jc w:val="left"/>
      </w:pPr>
      <w:r>
        <w:rPr>
          <w:rFonts w:ascii="Times New Roman" w:hAnsi="Times New Roman"/>
          <w:b w:val="0"/>
          <w:i w:val="0"/>
          <w:sz w:val="24"/>
        </w:rPr>
        <w:t xml:space="preserve">10. Saager L, Hesler BD, You J, et al. Intraoperative transitions of anesthesia care and postoperative adverse outcomes. </w:t>
      </w:r>
      <w:r>
        <w:rPr>
          <w:rFonts w:ascii="Times New Roman" w:hAnsi="Times New Roman"/>
          <w:i/>
          <w:sz w:val="24"/>
        </w:rPr>
        <w:t>Anesthesiology</w:t>
      </w:r>
      <w:r>
        <w:rPr>
          <w:rFonts w:ascii="Times New Roman" w:hAnsi="Times New Roman"/>
          <w:b w:val="0"/>
          <w:i w:val="0"/>
          <w:sz w:val="24"/>
        </w:rPr>
        <w:t xml:space="preserve"> 2014;121(4):695-706.</w:t>
      </w:r>
    </w:p>
    <w:p>
      <w:pPr>
        <w:spacing w:after="60" w:before="0" w:line="480" w:lineRule="exact"/>
        <w:jc w:val="left"/>
      </w:pPr>
      <w:r>
        <w:rPr>
          <w:rFonts w:ascii="Times New Roman" w:hAnsi="Times New Roman"/>
          <w:b w:val="0"/>
          <w:i w:val="0"/>
          <w:sz w:val="24"/>
        </w:rPr>
        <w:t>11. Health Services Safety Investigations Body (HSSIB). The impact of staff fatigue on patient safety. Investigation report. London: HSSIB, 2025.</w:t>
      </w:r>
    </w:p>
    <w:p>
      <w:pPr>
        <w:spacing w:after="60" w:before="0" w:line="480" w:lineRule="exact"/>
        <w:jc w:val="left"/>
      </w:pPr>
      <w:r>
        <w:rPr>
          <w:rFonts w:ascii="Times New Roman" w:hAnsi="Times New Roman"/>
          <w:b w:val="0"/>
          <w:i w:val="0"/>
          <w:sz w:val="24"/>
        </w:rPr>
        <w:t xml:space="preserve">12. Pittman P, Tiunn H-L, et al. Increased utilization of overtime and agency nurses and patient safety. </w:t>
      </w:r>
      <w:r>
        <w:rPr>
          <w:rFonts w:ascii="Times New Roman" w:hAnsi="Times New Roman"/>
          <w:i/>
          <w:sz w:val="24"/>
        </w:rPr>
        <w:t>JAMA Netw Open</w:t>
      </w:r>
      <w:r>
        <w:rPr>
          <w:rFonts w:ascii="Times New Roman" w:hAnsi="Times New Roman"/>
          <w:b w:val="0"/>
          <w:i w:val="0"/>
          <w:sz w:val="24"/>
        </w:rPr>
        <w:t xml:space="preserve"> 2025. PMID: 40172888.</w:t>
      </w:r>
    </w:p>
    <w:p>
      <w:pPr>
        <w:spacing w:after="60" w:before="0" w:line="480" w:lineRule="exact"/>
        <w:jc w:val="left"/>
      </w:pPr>
      <w:r>
        <w:rPr>
          <w:rFonts w:ascii="Times New Roman" w:hAnsi="Times New Roman"/>
          <w:b w:val="0"/>
          <w:i w:val="0"/>
          <w:sz w:val="24"/>
        </w:rPr>
        <w:t xml:space="preserve">13. Althoff FC, Wachtendorf LJ, Rostin P, et al. Effects of night surgery on postoperative mortality and morbidity: a multicentre cohort study. </w:t>
      </w:r>
      <w:r>
        <w:rPr>
          <w:rFonts w:ascii="Times New Roman" w:hAnsi="Times New Roman"/>
          <w:i/>
          <w:sz w:val="24"/>
        </w:rPr>
        <w:t>BMJ Qual Saf</w:t>
      </w:r>
      <w:r>
        <w:rPr>
          <w:rFonts w:ascii="Times New Roman" w:hAnsi="Times New Roman"/>
          <w:b w:val="0"/>
          <w:i w:val="0"/>
          <w:sz w:val="24"/>
        </w:rPr>
        <w:t xml:space="preserve"> 2021;30(8):678-688.</w:t>
      </w:r>
    </w:p>
    <w:p>
      <w:pPr>
        <w:spacing w:after="60" w:before="0" w:line="480" w:lineRule="exact"/>
        <w:jc w:val="left"/>
      </w:pPr>
      <w:r>
        <w:rPr>
          <w:rFonts w:ascii="Times New Roman" w:hAnsi="Times New Roman"/>
          <w:b w:val="0"/>
          <w:i w:val="0"/>
          <w:sz w:val="24"/>
        </w:rPr>
        <w:t xml:space="preserve">14. Joseph A, Khoshkenar A, Taaffe KM, et al. Minor flow disruptions, traffic-related factors and their effect on major flow disruptions in the operating room. </w:t>
      </w:r>
      <w:r>
        <w:rPr>
          <w:rFonts w:ascii="Times New Roman" w:hAnsi="Times New Roman"/>
          <w:i/>
          <w:sz w:val="24"/>
        </w:rPr>
        <w:t>BMJ Qual Saf</w:t>
      </w:r>
      <w:r>
        <w:rPr>
          <w:rFonts w:ascii="Times New Roman" w:hAnsi="Times New Roman"/>
          <w:b w:val="0"/>
          <w:i w:val="0"/>
          <w:sz w:val="24"/>
        </w:rPr>
        <w:t xml:space="preserve"> 2019;28(4):276-83.</w:t>
      </w:r>
    </w:p>
    <w:p>
      <w:pPr>
        <w:spacing w:after="60" w:before="0" w:line="480" w:lineRule="exact"/>
        <w:jc w:val="left"/>
      </w:pPr>
      <w:r>
        <w:rPr>
          <w:rFonts w:ascii="Times New Roman" w:hAnsi="Times New Roman"/>
          <w:b w:val="0"/>
          <w:i w:val="0"/>
          <w:sz w:val="24"/>
        </w:rPr>
        <w:t xml:space="preserve">15. Koch A, Burns J, Catchpole K, Weigl M. Associations of workflow disruptions in the operating room with surgical outcomes: a systematic review and narrative synthesis. </w:t>
      </w:r>
      <w:r>
        <w:rPr>
          <w:rFonts w:ascii="Times New Roman" w:hAnsi="Times New Roman"/>
          <w:i/>
          <w:sz w:val="24"/>
        </w:rPr>
        <w:t>BMJ Qual Saf</w:t>
      </w:r>
      <w:r>
        <w:rPr>
          <w:rFonts w:ascii="Times New Roman" w:hAnsi="Times New Roman"/>
          <w:b w:val="0"/>
          <w:i w:val="0"/>
          <w:sz w:val="24"/>
        </w:rPr>
        <w:t xml:space="preserve"> 2020;29(12):1033-1045.</w:t>
      </w:r>
    </w:p>
    <w:p>
      <w:pPr>
        <w:spacing w:after="60" w:before="0" w:line="480" w:lineRule="exact"/>
        <w:jc w:val="left"/>
      </w:pPr>
      <w:r>
        <w:rPr>
          <w:rFonts w:ascii="Times New Roman" w:hAnsi="Times New Roman"/>
          <w:b w:val="0"/>
          <w:i w:val="0"/>
          <w:sz w:val="24"/>
        </w:rPr>
        <w:t xml:space="preserve">16. Zhang C, Dunstan C, Pandit JJ. A tutorial on "capped utilisation" as a metric and key performance target in NHS England's Model Hospital operating theatres database: caution for international healthcare systems. </w:t>
      </w:r>
      <w:r>
        <w:rPr>
          <w:rFonts w:ascii="Times New Roman" w:hAnsi="Times New Roman"/>
          <w:i/>
          <w:sz w:val="24"/>
        </w:rPr>
        <w:t>Anesthesiol Perioper Sci</w:t>
      </w:r>
      <w:r>
        <w:rPr>
          <w:rFonts w:ascii="Times New Roman" w:hAnsi="Times New Roman"/>
          <w:b w:val="0"/>
          <w:i w:val="0"/>
          <w:sz w:val="24"/>
        </w:rPr>
        <w:t xml:space="preserve"> 2024. DOI: 10.1007/s44254-024-00073-3.</w:t>
      </w:r>
    </w:p>
    <w:p>
      <w:pPr>
        <w:spacing w:after="60" w:before="0" w:line="480" w:lineRule="exact"/>
        <w:jc w:val="left"/>
      </w:pPr>
      <w:r>
        <w:rPr>
          <w:rFonts w:ascii="Times New Roman" w:hAnsi="Times New Roman"/>
          <w:b w:val="0"/>
          <w:i w:val="0"/>
          <w:sz w:val="24"/>
        </w:rPr>
        <w:t xml:space="preserve">17. Macario A. Are your hospital operating rooms "efficient"? A scoring system with eight performance indicators. </w:t>
      </w:r>
      <w:r>
        <w:rPr>
          <w:rFonts w:ascii="Times New Roman" w:hAnsi="Times New Roman"/>
          <w:i/>
          <w:sz w:val="24"/>
        </w:rPr>
        <w:t>Anesthesiology</w:t>
      </w:r>
      <w:r>
        <w:rPr>
          <w:rFonts w:ascii="Times New Roman" w:hAnsi="Times New Roman"/>
          <w:b w:val="0"/>
          <w:i w:val="0"/>
          <w:sz w:val="24"/>
        </w:rPr>
        <w:t xml:space="preserve"> 2006;105(2):237-40.</w:t>
      </w:r>
    </w:p>
    <w:p>
      <w:pPr>
        <w:spacing w:after="60" w:before="0" w:line="480" w:lineRule="exact"/>
        <w:jc w:val="left"/>
      </w:pPr>
      <w:r>
        <w:rPr>
          <w:rFonts w:ascii="Times New Roman" w:hAnsi="Times New Roman"/>
          <w:b w:val="0"/>
          <w:i w:val="0"/>
          <w:sz w:val="24"/>
        </w:rPr>
        <w:t xml:space="preserve">18. Bauer M, Diemer M, Merkel M, et al. Glossary of perioperative process times and indicators. </w:t>
      </w:r>
      <w:r>
        <w:rPr>
          <w:rFonts w:ascii="Times New Roman" w:hAnsi="Times New Roman"/>
          <w:i/>
          <w:sz w:val="24"/>
        </w:rPr>
        <w:t>Anaesthesist</w:t>
      </w:r>
      <w:r>
        <w:rPr>
          <w:rFonts w:ascii="Times New Roman" w:hAnsi="Times New Roman"/>
          <w:b w:val="0"/>
          <w:i w:val="0"/>
          <w:sz w:val="24"/>
        </w:rPr>
        <w:t xml:space="preserve"> 2020;69(Suppl 1):S5-17.</w:t>
      </w:r>
    </w:p>
    <w:p>
      <w:pPr>
        <w:spacing w:after="60" w:before="0" w:line="480" w:lineRule="exact"/>
        <w:jc w:val="left"/>
      </w:pPr>
      <w:r>
        <w:rPr>
          <w:rFonts w:ascii="Times New Roman" w:hAnsi="Times New Roman"/>
          <w:b w:val="0"/>
          <w:i w:val="0"/>
          <w:sz w:val="24"/>
        </w:rPr>
        <w:t xml:space="preserve">19. Schouten AEM, Flipse SM, van Nieuwenhuizen KE, et al. Operating room performance optimization metrics: a systematic review. </w:t>
      </w:r>
      <w:r>
        <w:rPr>
          <w:rFonts w:ascii="Times New Roman" w:hAnsi="Times New Roman"/>
          <w:i/>
          <w:sz w:val="24"/>
        </w:rPr>
        <w:t>J Med Syst</w:t>
      </w:r>
      <w:r>
        <w:rPr>
          <w:rFonts w:ascii="Times New Roman" w:hAnsi="Times New Roman"/>
          <w:b w:val="0"/>
          <w:i w:val="0"/>
          <w:sz w:val="24"/>
        </w:rPr>
        <w:t xml:space="preserve"> 2023;47(1):19.</w:t>
      </w:r>
    </w:p>
    <w:p>
      <w:pPr>
        <w:spacing w:after="60" w:before="0" w:line="480" w:lineRule="exact"/>
        <w:jc w:val="left"/>
      </w:pPr>
      <w:r>
        <w:rPr>
          <w:rFonts w:ascii="Times New Roman" w:hAnsi="Times New Roman"/>
          <w:b w:val="0"/>
          <w:i w:val="0"/>
          <w:sz w:val="24"/>
        </w:rPr>
        <w:t xml:space="preserve">20. Strum DP, May JH, Vargas LG. Modeling the uncertainty of surgical procedure times: comparison of log-normal and normal models. </w:t>
      </w:r>
      <w:r>
        <w:rPr>
          <w:rFonts w:ascii="Times New Roman" w:hAnsi="Times New Roman"/>
          <w:i/>
          <w:sz w:val="24"/>
        </w:rPr>
        <w:t>Anesthesiology</w:t>
      </w:r>
      <w:r>
        <w:rPr>
          <w:rFonts w:ascii="Times New Roman" w:hAnsi="Times New Roman"/>
          <w:b w:val="0"/>
          <w:i w:val="0"/>
          <w:sz w:val="24"/>
        </w:rPr>
        <w:t xml:space="preserve"> 2000;92(4):1160-7.</w:t>
      </w:r>
    </w:p>
    <w:p>
      <w:pPr>
        <w:spacing w:after="60" w:before="0" w:line="480" w:lineRule="exact"/>
        <w:jc w:val="left"/>
      </w:pPr>
      <w:r>
        <w:rPr>
          <w:rFonts w:ascii="Times New Roman" w:hAnsi="Times New Roman"/>
          <w:b w:val="0"/>
          <w:i w:val="0"/>
          <w:sz w:val="24"/>
        </w:rPr>
        <w:t xml:space="preserve">21. Eijkemans MJ, van Houdenhoven M, Nguyen T, et al. Predicting the unpredictable: a new prediction model for operating room times using individual surgeon-specific historical data. </w:t>
      </w:r>
      <w:r>
        <w:rPr>
          <w:rFonts w:ascii="Times New Roman" w:hAnsi="Times New Roman"/>
          <w:i/>
          <w:sz w:val="24"/>
        </w:rPr>
        <w:t>Anesthesiology</w:t>
      </w:r>
      <w:r>
        <w:rPr>
          <w:rFonts w:ascii="Times New Roman" w:hAnsi="Times New Roman"/>
          <w:b w:val="0"/>
          <w:i w:val="0"/>
          <w:sz w:val="24"/>
        </w:rPr>
        <w:t xml:space="preserve"> 2010;112(1):41-9.</w:t>
      </w:r>
    </w:p>
    <w:p>
      <w:pPr>
        <w:spacing w:after="60" w:before="0" w:line="480" w:lineRule="exact"/>
        <w:jc w:val="left"/>
      </w:pPr>
      <w:r>
        <w:rPr>
          <w:rFonts w:ascii="Times New Roman" w:hAnsi="Times New Roman"/>
          <w:b w:val="0"/>
          <w:i w:val="0"/>
          <w:sz w:val="24"/>
        </w:rPr>
        <w:t xml:space="preserve">22. MacMillan L, et al. What affects operating room turnover time? A systematic review and mapping of the evidence. </w:t>
      </w:r>
      <w:r>
        <w:rPr>
          <w:rFonts w:ascii="Times New Roman" w:hAnsi="Times New Roman"/>
          <w:i/>
          <w:sz w:val="24"/>
        </w:rPr>
        <w:t>Surgery</w:t>
      </w:r>
      <w:r>
        <w:rPr>
          <w:rFonts w:ascii="Times New Roman" w:hAnsi="Times New Roman"/>
          <w:b w:val="0"/>
          <w:i w:val="0"/>
          <w:sz w:val="24"/>
        </w:rPr>
        <w:t xml:space="preserve"> 2025. PMID: 40054053.</w:t>
      </w:r>
    </w:p>
    <w:p>
      <w:pPr>
        <w:spacing w:after="60" w:before="0" w:line="480" w:lineRule="exact"/>
        <w:jc w:val="left"/>
      </w:pPr>
      <w:r>
        <w:rPr>
          <w:rFonts w:ascii="Times New Roman" w:hAnsi="Times New Roman"/>
          <w:b w:val="0"/>
          <w:i w:val="0"/>
          <w:sz w:val="24"/>
        </w:rPr>
        <w:t xml:space="preserve">23. Pandit JJ, Abbott T, Pandit M, et al. Is "starting on time" useful (or useless) as a surrogate measure for "surgical theatre efficiency"? </w:t>
      </w:r>
      <w:r>
        <w:rPr>
          <w:rFonts w:ascii="Times New Roman" w:hAnsi="Times New Roman"/>
          <w:i/>
          <w:sz w:val="24"/>
        </w:rPr>
        <w:t>Anaesthesia</w:t>
      </w:r>
      <w:r>
        <w:rPr>
          <w:rFonts w:ascii="Times New Roman" w:hAnsi="Times New Roman"/>
          <w:b w:val="0"/>
          <w:i w:val="0"/>
          <w:sz w:val="24"/>
        </w:rPr>
        <w:t xml:space="preserve"> 2012;67(8):823-32.</w:t>
      </w:r>
    </w:p>
    <w:p>
      <w:pPr>
        <w:spacing w:after="60" w:before="0" w:line="480" w:lineRule="exact"/>
        <w:jc w:val="left"/>
      </w:pPr>
      <w:r>
        <w:rPr>
          <w:rFonts w:ascii="Times New Roman" w:hAnsi="Times New Roman"/>
          <w:b w:val="0"/>
          <w:i w:val="0"/>
          <w:sz w:val="24"/>
        </w:rPr>
        <w:t xml:space="preserve">24. Zhang C, Pandit JJ. Getting operating theatre metrics right to underpin quality improvement. </w:t>
      </w:r>
      <w:r>
        <w:rPr>
          <w:rFonts w:ascii="Times New Roman" w:hAnsi="Times New Roman"/>
          <w:i/>
          <w:sz w:val="24"/>
        </w:rPr>
        <w:t>Br J Anaesth</w:t>
      </w:r>
      <w:r>
        <w:rPr>
          <w:rFonts w:ascii="Times New Roman" w:hAnsi="Times New Roman"/>
          <w:b w:val="0"/>
          <w:i w:val="0"/>
          <w:sz w:val="24"/>
        </w:rPr>
        <w:t xml:space="preserve"> 2023;131(1):130-4.</w:t>
      </w:r>
    </w:p>
    <w:p>
      <w:pPr>
        <w:spacing w:after="60" w:before="0" w:line="480" w:lineRule="exact"/>
        <w:jc w:val="left"/>
      </w:pPr>
      <w:r>
        <w:rPr>
          <w:rFonts w:ascii="Times New Roman" w:hAnsi="Times New Roman"/>
          <w:b w:val="0"/>
          <w:i w:val="0"/>
          <w:sz w:val="24"/>
        </w:rPr>
        <w:t xml:space="preserve">25. Dexter F, Epstein RH. Typical savings from each minute reduction in tardy first case of the day starts. </w:t>
      </w:r>
      <w:r>
        <w:rPr>
          <w:rFonts w:ascii="Times New Roman" w:hAnsi="Times New Roman"/>
          <w:i/>
          <w:sz w:val="24"/>
        </w:rPr>
        <w:t>Anesth Analg</w:t>
      </w:r>
      <w:r>
        <w:rPr>
          <w:rFonts w:ascii="Times New Roman" w:hAnsi="Times New Roman"/>
          <w:b w:val="0"/>
          <w:i w:val="0"/>
          <w:sz w:val="24"/>
        </w:rPr>
        <w:t xml:space="preserve"> 2009;108(4):1262-7.</w:t>
      </w:r>
    </w:p>
    <w:p>
      <w:pPr>
        <w:spacing w:after="60" w:before="0" w:line="480" w:lineRule="exact"/>
        <w:jc w:val="left"/>
      </w:pPr>
      <w:r>
        <w:rPr>
          <w:rFonts w:ascii="Times New Roman" w:hAnsi="Times New Roman"/>
          <w:b w:val="0"/>
          <w:i w:val="0"/>
          <w:sz w:val="24"/>
        </w:rPr>
        <w:t xml:space="preserve">26. Wachtel RE, Dexter F. Influence of the operating room schedule on tardiness from scheduled start times. </w:t>
      </w:r>
      <w:r>
        <w:rPr>
          <w:rFonts w:ascii="Times New Roman" w:hAnsi="Times New Roman"/>
          <w:i/>
          <w:sz w:val="24"/>
        </w:rPr>
        <w:t>Anesth Analg</w:t>
      </w:r>
      <w:r>
        <w:rPr>
          <w:rFonts w:ascii="Times New Roman" w:hAnsi="Times New Roman"/>
          <w:b w:val="0"/>
          <w:i w:val="0"/>
          <w:sz w:val="24"/>
        </w:rPr>
        <w:t xml:space="preserve"> 2009;108(6):1889-1901.</w:t>
      </w:r>
    </w:p>
    <w:p>
      <w:pPr>
        <w:spacing w:after="60" w:before="0" w:line="480" w:lineRule="exact"/>
        <w:jc w:val="left"/>
      </w:pPr>
      <w:r>
        <w:rPr>
          <w:rFonts w:ascii="Times New Roman" w:hAnsi="Times New Roman"/>
          <w:b w:val="0"/>
          <w:i w:val="0"/>
          <w:sz w:val="24"/>
        </w:rPr>
        <w:t xml:space="preserve">27. Fugener A, Schiffels S, Kolisch R. Overutilization and underutilization of operating rooms: insights from behavioral health care operations management. </w:t>
      </w:r>
      <w:r>
        <w:rPr>
          <w:rFonts w:ascii="Times New Roman" w:hAnsi="Times New Roman"/>
          <w:i/>
          <w:sz w:val="24"/>
        </w:rPr>
        <w:t>Health Care Manag Sci</w:t>
      </w:r>
      <w:r>
        <w:rPr>
          <w:rFonts w:ascii="Times New Roman" w:hAnsi="Times New Roman"/>
          <w:b w:val="0"/>
          <w:i w:val="0"/>
          <w:sz w:val="24"/>
        </w:rPr>
        <w:t xml:space="preserve"> 2017;20(1):115-28.</w:t>
      </w:r>
    </w:p>
    <w:p>
      <w:pPr>
        <w:spacing w:before="320" w:after="120" w:line="480" w:lineRule="exact"/>
        <w:jc w:val="left"/>
      </w:pPr>
      <w:r>
        <w:rPr>
          <w:rFonts w:ascii="Times New Roman" w:hAnsi="Times New Roman"/>
          <w:b/>
          <w:sz w:val="24"/>
        </w:rPr>
        <w:t>FIGURE LEGENDS</w:t>
      </w:r>
    </w:p>
    <w:p>
      <w:pPr>
        <w:spacing w:after="120" w:before="0" w:line="480" w:lineRule="exact"/>
        <w:jc w:val="left"/>
      </w:pPr>
      <w:r>
        <w:rPr>
          <w:rFonts w:ascii="Times New Roman" w:hAnsi="Times New Roman"/>
          <w:b/>
          <w:sz w:val="24"/>
        </w:rPr>
        <w:t>Figure 1.</w:t>
      </w:r>
      <w:r>
        <w:rPr>
          <w:rFonts w:ascii="Times New Roman" w:hAnsi="Times New Roman"/>
          <w:b w:val="0"/>
          <w:i w:val="0"/>
          <w:sz w:val="24"/>
        </w:rPr>
        <w:t xml:space="preserve"> Room-level overtime concentration. Panel A: percentage of cases with overtime per operating room, ordered ascending. Panel B: mean overtime duration per room (minutes), with the hospital-wide average marked for reference. Overall: 7,729 of 79,352 cases (9.7%), mean 60.3 min, median 39 min, P95 197 min.</w:t>
      </w:r>
    </w:p>
    <w:p>
      <w:pPr>
        <w:spacing w:before="320" w:after="120" w:line="480" w:lineRule="exact"/>
        <w:jc w:val="left"/>
      </w:pPr>
      <w:r>
        <w:rPr>
          <w:rFonts w:ascii="Times New Roman" w:hAnsi="Times New Roman"/>
          <w:b/>
          <w:sz w:val="24"/>
        </w:rPr>
        <w:t>SUPPLEMENTARY TABLES</w:t>
      </w:r>
    </w:p>
    <w:p>
      <w:pPr>
        <w:spacing w:after="120" w:before="0" w:line="480" w:lineRule="exact"/>
        <w:jc w:val="left"/>
      </w:pPr>
      <w:r>
        <w:rPr>
          <w:rFonts w:ascii="Times New Roman" w:hAnsi="Times New Roman"/>
          <w:b/>
          <w:sz w:val="24"/>
        </w:rPr>
        <w:t>Supplementary Table S1. Summary of cited literature.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60" w:lineRule="exact" w:after="0"/>
            </w:pPr>
            <w:r/>
            <w:r>
              <w:rPr>
                <w:rFonts w:ascii="Times New Roman" w:hAnsi="Times New Roman"/>
                <w:b/>
                <w:i w:val="0"/>
                <w:sz w:val="22"/>
              </w:rPr>
              <w:t>Ref</w:t>
            </w:r>
          </w:p>
        </w:tc>
        <w:tc>
          <w:tcPr>
            <w:tcW w:type="dxa" w:w="1568"/>
          </w:tcPr>
          <w:p>
            <w:pPr>
              <w:spacing w:line="260" w:lineRule="exact" w:after="0"/>
            </w:pPr>
            <w:r/>
            <w:r>
              <w:rPr>
                <w:rFonts w:ascii="Times New Roman" w:hAnsi="Times New Roman"/>
                <w:b/>
                <w:i w:val="0"/>
                <w:sz w:val="22"/>
              </w:rPr>
              <w:t>First author (year)</w:t>
            </w:r>
          </w:p>
        </w:tc>
        <w:tc>
          <w:tcPr>
            <w:tcW w:type="dxa" w:w="1568"/>
          </w:tcPr>
          <w:p>
            <w:pPr>
              <w:spacing w:line="260" w:lineRule="exact" w:after="0"/>
            </w:pPr>
            <w:r/>
            <w:r>
              <w:rPr>
                <w:rFonts w:ascii="Times New Roman" w:hAnsi="Times New Roman"/>
                <w:b/>
                <w:i w:val="0"/>
                <w:sz w:val="22"/>
              </w:rPr>
              <w:t>Design</w:t>
            </w:r>
          </w:p>
        </w:tc>
        <w:tc>
          <w:tcPr>
            <w:tcW w:type="dxa" w:w="1568"/>
          </w:tcPr>
          <w:p>
            <w:pPr>
              <w:spacing w:line="260" w:lineRule="exact" w:after="0"/>
            </w:pPr>
            <w:r/>
            <w:r>
              <w:rPr>
                <w:rFonts w:ascii="Times New Roman" w:hAnsi="Times New Roman"/>
                <w:b/>
                <w:i w:val="0"/>
                <w:sz w:val="22"/>
              </w:rPr>
              <w:t>Sample / scope</w:t>
            </w:r>
          </w:p>
        </w:tc>
        <w:tc>
          <w:tcPr>
            <w:tcW w:type="dxa" w:w="1568"/>
          </w:tcPr>
          <w:p>
            <w:pPr>
              <w:spacing w:line="260" w:lineRule="exact" w:after="0"/>
            </w:pPr>
            <w:r/>
            <w:r>
              <w:rPr>
                <w:rFonts w:ascii="Times New Roman" w:hAnsi="Times New Roman"/>
                <w:b/>
                <w:i w:val="0"/>
                <w:sz w:val="22"/>
              </w:rPr>
              <w:t>Key finding</w:t>
            </w:r>
          </w:p>
        </w:tc>
        <w:tc>
          <w:tcPr>
            <w:tcW w:type="dxa" w:w="1568"/>
          </w:tcPr>
          <w:p>
            <w:pPr>
              <w:spacing w:line="260" w:lineRule="exact" w:after="0"/>
            </w:pPr>
            <w:r/>
            <w:r>
              <w:rPr>
                <w:rFonts w:ascii="Times New Roman" w:hAnsi="Times New Roman"/>
                <w:b/>
                <w:i w:val="0"/>
                <w:sz w:val="22"/>
              </w:rPr>
              <w:t>Role in this paper</w:t>
            </w:r>
          </w:p>
        </w:tc>
      </w:tr>
      <w:tr>
        <w:tc>
          <w:tcPr>
            <w:tcW w:type="dxa" w:w="1568"/>
          </w:tcPr>
          <w:p>
            <w:pPr>
              <w:spacing w:line="260" w:lineRule="exact" w:after="0"/>
            </w:pPr>
            <w:r/>
            <w:r>
              <w:rPr>
                <w:rFonts w:ascii="Times New Roman" w:hAnsi="Times New Roman"/>
                <w:b w:val="0"/>
                <w:i w:val="0"/>
                <w:sz w:val="22"/>
              </w:rPr>
              <w:t>1</w:t>
            </w:r>
          </w:p>
        </w:tc>
        <w:tc>
          <w:tcPr>
            <w:tcW w:type="dxa" w:w="1568"/>
          </w:tcPr>
          <w:p>
            <w:pPr>
              <w:spacing w:line="260" w:lineRule="exact" w:after="0"/>
            </w:pPr>
            <w:r/>
            <w:r>
              <w:rPr>
                <w:rFonts w:ascii="Times New Roman" w:hAnsi="Times New Roman"/>
                <w:b w:val="0"/>
                <w:i w:val="0"/>
                <w:sz w:val="22"/>
              </w:rPr>
              <w:t>Wachtel (2010)</w:t>
            </w:r>
          </w:p>
        </w:tc>
        <w:tc>
          <w:tcPr>
            <w:tcW w:type="dxa" w:w="1568"/>
          </w:tcPr>
          <w:p>
            <w:pPr>
              <w:spacing w:line="260" w:lineRule="exact" w:after="0"/>
            </w:pPr>
            <w:r/>
            <w:r>
              <w:rPr>
                <w:rFonts w:ascii="Times New Roman" w:hAnsi="Times New Roman"/>
                <w:b w:val="0"/>
                <w:i w:val="0"/>
                <w:sz w:val="22"/>
              </w:rPr>
              <w:t>Literature review</w:t>
            </w:r>
          </w:p>
        </w:tc>
        <w:tc>
          <w:tcPr>
            <w:tcW w:type="dxa" w:w="1568"/>
          </w:tcPr>
          <w:p>
            <w:pPr>
              <w:spacing w:line="260" w:lineRule="exact" w:after="0"/>
            </w:pPr>
            <w:r/>
            <w:r>
              <w:rPr>
                <w:rFonts w:ascii="Times New Roman" w:hAnsi="Times New Roman"/>
                <w:b w:val="0"/>
                <w:i w:val="0"/>
                <w:sz w:val="22"/>
              </w:rPr>
              <w:t>Newsvendor experiments for OR management</w:t>
            </w:r>
          </w:p>
        </w:tc>
        <w:tc>
          <w:tcPr>
            <w:tcW w:type="dxa" w:w="1568"/>
          </w:tcPr>
          <w:p>
            <w:pPr>
              <w:spacing w:line="260" w:lineRule="exact" w:after="0"/>
            </w:pPr>
            <w:r/>
            <w:r>
              <w:rPr>
                <w:rFonts w:ascii="Times New Roman" w:hAnsi="Times New Roman"/>
                <w:b w:val="0"/>
                <w:i w:val="0"/>
                <w:sz w:val="22"/>
              </w:rPr>
              <w:t>Overutilized time costs approximately twice as much as underutilized time</w:t>
            </w:r>
          </w:p>
        </w:tc>
        <w:tc>
          <w:tcPr>
            <w:tcW w:type="dxa" w:w="1568"/>
          </w:tcPr>
          <w:p>
            <w:pPr>
              <w:spacing w:line="260" w:lineRule="exact" w:after="0"/>
            </w:pPr>
            <w:r/>
            <w:r>
              <w:rPr>
                <w:rFonts w:ascii="Times New Roman" w:hAnsi="Times New Roman"/>
                <w:b w:val="0"/>
                <w:i w:val="0"/>
                <w:sz w:val="22"/>
              </w:rPr>
              <w:t>Establishes cost asymmetry of overtime</w:t>
            </w:r>
          </w:p>
        </w:tc>
      </w:tr>
      <w:tr>
        <w:tc>
          <w:tcPr>
            <w:tcW w:type="dxa" w:w="1568"/>
          </w:tcPr>
          <w:p>
            <w:pPr>
              <w:spacing w:line="260" w:lineRule="exact" w:after="0"/>
            </w:pPr>
            <w:r/>
            <w:r>
              <w:rPr>
                <w:rFonts w:ascii="Times New Roman" w:hAnsi="Times New Roman"/>
                <w:b w:val="0"/>
                <w:i w:val="0"/>
                <w:sz w:val="22"/>
              </w:rPr>
              <w:t>2</w:t>
            </w:r>
          </w:p>
        </w:tc>
        <w:tc>
          <w:tcPr>
            <w:tcW w:type="dxa" w:w="1568"/>
          </w:tcPr>
          <w:p>
            <w:pPr>
              <w:spacing w:line="260" w:lineRule="exact" w:after="0"/>
            </w:pPr>
            <w:r/>
            <w:r>
              <w:rPr>
                <w:rFonts w:ascii="Times New Roman" w:hAnsi="Times New Roman"/>
                <w:b w:val="0"/>
                <w:i w:val="0"/>
                <w:sz w:val="22"/>
              </w:rPr>
              <w:t>Griffiths (2014)</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33,659 nurses, 12 European countries</w:t>
            </w:r>
          </w:p>
        </w:tc>
        <w:tc>
          <w:tcPr>
            <w:tcW w:type="dxa" w:w="1568"/>
          </w:tcPr>
          <w:p>
            <w:pPr>
              <w:spacing w:line="260" w:lineRule="exact" w:after="0"/>
            </w:pPr>
            <w:r/>
            <w:r>
              <w:rPr>
                <w:rFonts w:ascii="Times New Roman" w:hAnsi="Times New Roman"/>
                <w:b w:val="0"/>
                <w:i w:val="0"/>
                <w:sz w:val="22"/>
              </w:rPr>
              <w:t>Overtime and long shifts associated with poorer perceived quality of care and higher patient safety risk</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3</w:t>
            </w:r>
          </w:p>
        </w:tc>
        <w:tc>
          <w:tcPr>
            <w:tcW w:type="dxa" w:w="1568"/>
          </w:tcPr>
          <w:p>
            <w:pPr>
              <w:spacing w:line="260" w:lineRule="exact" w:after="0"/>
            </w:pPr>
            <w:r/>
            <w:r>
              <w:rPr>
                <w:rFonts w:ascii="Times New Roman" w:hAnsi="Times New Roman"/>
                <w:b w:val="0"/>
                <w:i w:val="0"/>
                <w:sz w:val="22"/>
              </w:rPr>
              <w:t>Dall'Ora (2015)</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Same RN4CAST dataset as ref 2</w:t>
            </w:r>
          </w:p>
        </w:tc>
        <w:tc>
          <w:tcPr>
            <w:tcW w:type="dxa" w:w="1568"/>
          </w:tcPr>
          <w:p>
            <w:pPr>
              <w:spacing w:line="260" w:lineRule="exact" w:after="0"/>
            </w:pPr>
            <w:r/>
            <w:r>
              <w:rPr>
                <w:rFonts w:ascii="Times New Roman" w:hAnsi="Times New Roman"/>
                <w:b w:val="0"/>
                <w:i w:val="0"/>
                <w:sz w:val="22"/>
              </w:rPr>
              <w:t>12-hour shifts associated with burnout (OR 1.26) and intent to leave (OR 1.13)</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4</w:t>
            </w:r>
          </w:p>
        </w:tc>
        <w:tc>
          <w:tcPr>
            <w:tcW w:type="dxa" w:w="1568"/>
          </w:tcPr>
          <w:p>
            <w:pPr>
              <w:spacing w:line="260" w:lineRule="exact" w:after="0"/>
            </w:pPr>
            <w:r/>
            <w:r>
              <w:rPr>
                <w:rFonts w:ascii="Times New Roman" w:hAnsi="Times New Roman"/>
                <w:b w:val="0"/>
                <w:i w:val="0"/>
                <w:sz w:val="22"/>
              </w:rPr>
              <w:t>Bae (2024)</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264 nurses, South Korean acute care hospitals</w:t>
            </w:r>
          </w:p>
        </w:tc>
        <w:tc>
          <w:tcPr>
            <w:tcW w:type="dxa" w:w="1568"/>
          </w:tcPr>
          <w:p>
            <w:pPr>
              <w:spacing w:line="260" w:lineRule="exact" w:after="0"/>
            </w:pPr>
            <w:r/>
            <w:r>
              <w:rPr>
                <w:rFonts w:ascii="Times New Roman" w:hAnsi="Times New Roman"/>
                <w:b w:val="0"/>
                <w:i w:val="0"/>
                <w:sz w:val="22"/>
              </w:rPr>
              <w:t>Mandatory overtime associated with intent to leave</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5</w:t>
            </w:r>
          </w:p>
        </w:tc>
        <w:tc>
          <w:tcPr>
            <w:tcW w:type="dxa" w:w="1568"/>
          </w:tcPr>
          <w:p>
            <w:pPr>
              <w:spacing w:line="260" w:lineRule="exact" w:after="0"/>
            </w:pPr>
            <w:r/>
            <w:r>
              <w:rPr>
                <w:rFonts w:ascii="Times New Roman" w:hAnsi="Times New Roman"/>
                <w:b w:val="0"/>
                <w:i w:val="0"/>
                <w:sz w:val="22"/>
              </w:rPr>
              <w:t>Dall'Ora (2016)</w:t>
            </w:r>
          </w:p>
        </w:tc>
        <w:tc>
          <w:tcPr>
            <w:tcW w:type="dxa" w:w="1568"/>
          </w:tcPr>
          <w:p>
            <w:pPr>
              <w:spacing w:line="260" w:lineRule="exact" w:after="0"/>
            </w:pPr>
            <w:r/>
            <w:r>
              <w:rPr>
                <w:rFonts w:ascii="Times New Roman" w:hAnsi="Times New Roman"/>
                <w:b w:val="0"/>
                <w:i w:val="0"/>
                <w:sz w:val="22"/>
              </w:rPr>
              <w:t>Literature review</w:t>
            </w:r>
          </w:p>
        </w:tc>
        <w:tc>
          <w:tcPr>
            <w:tcW w:type="dxa" w:w="1568"/>
          </w:tcPr>
          <w:p>
            <w:pPr>
              <w:spacing w:line="260" w:lineRule="exact" w:after="0"/>
            </w:pPr>
            <w:r/>
            <w:r>
              <w:rPr>
                <w:rFonts w:ascii="Times New Roman" w:hAnsi="Times New Roman"/>
                <w:b w:val="0"/>
                <w:i w:val="0"/>
                <w:sz w:val="22"/>
              </w:rPr>
              <w:t>13 studies on shift characteristics</w:t>
            </w:r>
          </w:p>
        </w:tc>
        <w:tc>
          <w:tcPr>
            <w:tcW w:type="dxa" w:w="1568"/>
          </w:tcPr>
          <w:p>
            <w:pPr>
              <w:spacing w:line="260" w:lineRule="exact" w:after="0"/>
            </w:pPr>
            <w:r/>
            <w:r>
              <w:rPr>
                <w:rFonts w:ascii="Times New Roman" w:hAnsi="Times New Roman"/>
                <w:b w:val="0"/>
                <w:i w:val="0"/>
                <w:sz w:val="22"/>
              </w:rPr>
              <w:t>Both long shifts and overtime associated with worse performance and well-being</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6</w:t>
            </w:r>
          </w:p>
        </w:tc>
        <w:tc>
          <w:tcPr>
            <w:tcW w:type="dxa" w:w="1568"/>
          </w:tcPr>
          <w:p>
            <w:pPr>
              <w:spacing w:line="260" w:lineRule="exact" w:after="0"/>
            </w:pPr>
            <w:r/>
            <w:r>
              <w:rPr>
                <w:rFonts w:ascii="Times New Roman" w:hAnsi="Times New Roman"/>
                <w:b w:val="0"/>
                <w:i w:val="0"/>
                <w:sz w:val="22"/>
              </w:rPr>
              <w:t>Dall'Ora (2020)</w:t>
            </w:r>
          </w:p>
        </w:tc>
        <w:tc>
          <w:tcPr>
            <w:tcW w:type="dxa" w:w="1568"/>
          </w:tcPr>
          <w:p>
            <w:pPr>
              <w:spacing w:line="260" w:lineRule="exact" w:after="0"/>
            </w:pPr>
            <w:r/>
            <w:r>
              <w:rPr>
                <w:rFonts w:ascii="Times New Roman" w:hAnsi="Times New Roman"/>
                <w:b w:val="0"/>
                <w:i w:val="0"/>
                <w:sz w:val="22"/>
              </w:rPr>
              <w:t>Theoretical review</w:t>
            </w:r>
          </w:p>
        </w:tc>
        <w:tc>
          <w:tcPr>
            <w:tcW w:type="dxa" w:w="1568"/>
          </w:tcPr>
          <w:p>
            <w:pPr>
              <w:spacing w:line="260" w:lineRule="exact" w:after="0"/>
            </w:pPr>
            <w:r/>
            <w:r>
              <w:rPr>
                <w:rFonts w:ascii="Times New Roman" w:hAnsi="Times New Roman"/>
                <w:b w:val="0"/>
                <w:i w:val="0"/>
                <w:sz w:val="22"/>
              </w:rPr>
              <w:t>Burnout models in nursing</w:t>
            </w:r>
          </w:p>
        </w:tc>
        <w:tc>
          <w:tcPr>
            <w:tcW w:type="dxa" w:w="1568"/>
          </w:tcPr>
          <w:p>
            <w:pPr>
              <w:spacing w:line="260" w:lineRule="exact" w:after="0"/>
            </w:pPr>
            <w:r/>
            <w:r>
              <w:rPr>
                <w:rFonts w:ascii="Times New Roman" w:hAnsi="Times New Roman"/>
                <w:b w:val="0"/>
                <w:i w:val="0"/>
                <w:sz w:val="22"/>
              </w:rPr>
              <w:t>High workload combined with low decision latitude is an established burnout predictor</w:t>
            </w:r>
          </w:p>
        </w:tc>
        <w:tc>
          <w:tcPr>
            <w:tcW w:type="dxa" w:w="1568"/>
          </w:tcPr>
          <w:p>
            <w:pPr>
              <w:spacing w:line="260" w:lineRule="exact" w:after="0"/>
            </w:pPr>
            <w:r/>
            <w:r>
              <w:rPr>
                <w:rFonts w:ascii="Times New Roman" w:hAnsi="Times New Roman"/>
                <w:b w:val="0"/>
                <w:i w:val="0"/>
                <w:sz w:val="22"/>
              </w:rPr>
              <w:t>Burnout mechanism</w:t>
            </w:r>
          </w:p>
        </w:tc>
      </w:tr>
      <w:tr>
        <w:tc>
          <w:tcPr>
            <w:tcW w:type="dxa" w:w="1568"/>
          </w:tcPr>
          <w:p>
            <w:pPr>
              <w:spacing w:line="260" w:lineRule="exact" w:after="0"/>
            </w:pPr>
            <w:r/>
            <w:r>
              <w:rPr>
                <w:rFonts w:ascii="Times New Roman" w:hAnsi="Times New Roman"/>
                <w:b w:val="0"/>
                <w:i w:val="0"/>
                <w:sz w:val="22"/>
              </w:rPr>
              <w:t>7</w:t>
            </w:r>
          </w:p>
        </w:tc>
        <w:tc>
          <w:tcPr>
            <w:tcW w:type="dxa" w:w="1568"/>
          </w:tcPr>
          <w:p>
            <w:pPr>
              <w:spacing w:line="260" w:lineRule="exact" w:after="0"/>
            </w:pPr>
            <w:r/>
            <w:r>
              <w:rPr>
                <w:rFonts w:ascii="Times New Roman" w:hAnsi="Times New Roman"/>
                <w:b w:val="0"/>
                <w:i w:val="0"/>
                <w:sz w:val="22"/>
              </w:rPr>
              <w:t>Cortegiani (2020)</w:t>
            </w:r>
          </w:p>
        </w:tc>
        <w:tc>
          <w:tcPr>
            <w:tcW w:type="dxa" w:w="1568"/>
          </w:tcPr>
          <w:p>
            <w:pPr>
              <w:spacing w:line="260" w:lineRule="exact" w:after="0"/>
            </w:pPr>
            <w:r/>
            <w:r>
              <w:rPr>
                <w:rFonts w:ascii="Times New Roman" w:hAnsi="Times New Roman"/>
                <w:b w:val="0"/>
                <w:i w:val="0"/>
                <w:sz w:val="22"/>
              </w:rPr>
              <w:t>Systematic review and meta-analysis</w:t>
            </w:r>
          </w:p>
        </w:tc>
        <w:tc>
          <w:tcPr>
            <w:tcW w:type="dxa" w:w="1568"/>
          </w:tcPr>
          <w:p>
            <w:pPr>
              <w:spacing w:line="260" w:lineRule="exact" w:after="0"/>
            </w:pPr>
            <w:r/>
            <w:r>
              <w:rPr>
                <w:rFonts w:ascii="Times New Roman" w:hAnsi="Times New Roman"/>
                <w:b w:val="0"/>
                <w:i w:val="0"/>
                <w:sz w:val="22"/>
              </w:rPr>
              <w:t>13 studies, after-hours vs daytime surgery</w:t>
            </w:r>
          </w:p>
        </w:tc>
        <w:tc>
          <w:tcPr>
            <w:tcW w:type="dxa" w:w="1568"/>
          </w:tcPr>
          <w:p>
            <w:pPr>
              <w:spacing w:line="260" w:lineRule="exact" w:after="0"/>
            </w:pPr>
            <w:r/>
            <w:r>
              <w:rPr>
                <w:rFonts w:ascii="Times New Roman" w:hAnsi="Times New Roman"/>
                <w:b w:val="0"/>
                <w:i w:val="0"/>
                <w:sz w:val="22"/>
              </w:rPr>
              <w:t>After-hours surgery associated with elevated mortality (adjusted OR 1.16, 95% CI 1.06–1.28); low-certainty evidence</w:t>
            </w:r>
          </w:p>
        </w:tc>
        <w:tc>
          <w:tcPr>
            <w:tcW w:type="dxa" w:w="1568"/>
          </w:tcPr>
          <w:p>
            <w:pPr>
              <w:spacing w:line="260" w:lineRule="exact" w:after="0"/>
            </w:pPr>
            <w:r/>
            <w:r>
              <w:rPr>
                <w:rFonts w:ascii="Times New Roman" w:hAnsi="Times New Roman"/>
                <w:b w:val="0"/>
                <w:i w:val="0"/>
                <w:sz w:val="22"/>
              </w:rPr>
              <w:t>Patient-harm evidence, primary mortality estimate</w:t>
            </w:r>
          </w:p>
        </w:tc>
      </w:tr>
      <w:tr>
        <w:tc>
          <w:tcPr>
            <w:tcW w:type="dxa" w:w="1568"/>
          </w:tcPr>
          <w:p>
            <w:pPr>
              <w:spacing w:line="260" w:lineRule="exact" w:after="0"/>
            </w:pPr>
            <w:r/>
            <w:r>
              <w:rPr>
                <w:rFonts w:ascii="Times New Roman" w:hAnsi="Times New Roman"/>
                <w:b w:val="0"/>
                <w:i w:val="0"/>
                <w:sz w:val="22"/>
              </w:rPr>
              <w:t>8</w:t>
            </w:r>
          </w:p>
        </w:tc>
        <w:tc>
          <w:tcPr>
            <w:tcW w:type="dxa" w:w="1568"/>
          </w:tcPr>
          <w:p>
            <w:pPr>
              <w:spacing w:line="260" w:lineRule="exact" w:after="0"/>
            </w:pPr>
            <w:r/>
            <w:r>
              <w:rPr>
                <w:rFonts w:ascii="Times New Roman" w:hAnsi="Times New Roman"/>
                <w:b w:val="0"/>
                <w:i w:val="0"/>
                <w:sz w:val="22"/>
              </w:rPr>
              <w:t>Oh (2025)</w:t>
            </w:r>
          </w:p>
        </w:tc>
        <w:tc>
          <w:tcPr>
            <w:tcW w:type="dxa" w:w="1568"/>
          </w:tcPr>
          <w:p>
            <w:pPr>
              <w:spacing w:line="260" w:lineRule="exact" w:after="0"/>
            </w:pPr>
            <w:r/>
            <w:r>
              <w:rPr>
                <w:rFonts w:ascii="Times New Roman" w:hAnsi="Times New Roman"/>
                <w:b w:val="0"/>
                <w:i w:val="0"/>
                <w:sz w:val="22"/>
              </w:rPr>
              <w:t>Retrospective cohort</w:t>
            </w:r>
          </w:p>
        </w:tc>
        <w:tc>
          <w:tcPr>
            <w:tcW w:type="dxa" w:w="1568"/>
          </w:tcPr>
          <w:p>
            <w:pPr>
              <w:spacing w:line="260" w:lineRule="exact" w:after="0"/>
            </w:pPr>
            <w:r/>
            <w:r>
              <w:rPr>
                <w:rFonts w:ascii="Times New Roman" w:hAnsi="Times New Roman"/>
                <w:b w:val="0"/>
                <w:i w:val="0"/>
                <w:sz w:val="22"/>
              </w:rPr>
              <w:t>281,717 propensity-matched patients, South Korea</w:t>
            </w:r>
          </w:p>
        </w:tc>
        <w:tc>
          <w:tcPr>
            <w:tcW w:type="dxa" w:w="1568"/>
          </w:tcPr>
          <w:p>
            <w:pPr>
              <w:spacing w:line="260" w:lineRule="exact" w:after="0"/>
            </w:pPr>
            <w:r/>
            <w:r>
              <w:rPr>
                <w:rFonts w:ascii="Times New Roman" w:hAnsi="Times New Roman"/>
                <w:b w:val="0"/>
                <w:i w:val="0"/>
                <w:sz w:val="22"/>
              </w:rPr>
              <w:t>After-hours surgery associated with mortality (OR 3.58)</w:t>
            </w:r>
          </w:p>
        </w:tc>
        <w:tc>
          <w:tcPr>
            <w:tcW w:type="dxa" w:w="1568"/>
          </w:tcPr>
          <w:p>
            <w:pPr>
              <w:spacing w:line="260" w:lineRule="exact" w:after="0"/>
            </w:pPr>
            <w:r/>
            <w:r>
              <w:rPr>
                <w:rFonts w:ascii="Times New Roman" w:hAnsi="Times New Roman"/>
                <w:b w:val="0"/>
                <w:i w:val="0"/>
                <w:sz w:val="22"/>
              </w:rPr>
              <w:t>Patient-harm evidence, upper-bound estimate</w:t>
            </w:r>
          </w:p>
        </w:tc>
      </w:tr>
      <w:tr>
        <w:tc>
          <w:tcPr>
            <w:tcW w:type="dxa" w:w="1568"/>
          </w:tcPr>
          <w:p>
            <w:pPr>
              <w:spacing w:line="260" w:lineRule="exact" w:after="0"/>
            </w:pPr>
            <w:r/>
            <w:r>
              <w:rPr>
                <w:rFonts w:ascii="Times New Roman" w:hAnsi="Times New Roman"/>
                <w:b w:val="0"/>
                <w:i w:val="0"/>
                <w:sz w:val="22"/>
              </w:rPr>
              <w:t>9</w:t>
            </w:r>
          </w:p>
        </w:tc>
        <w:tc>
          <w:tcPr>
            <w:tcW w:type="dxa" w:w="1568"/>
          </w:tcPr>
          <w:p>
            <w:pPr>
              <w:spacing w:line="260" w:lineRule="exact" w:after="0"/>
            </w:pPr>
            <w:r/>
            <w:r>
              <w:rPr>
                <w:rFonts w:ascii="Times New Roman" w:hAnsi="Times New Roman"/>
                <w:b w:val="0"/>
                <w:i w:val="0"/>
                <w:sz w:val="22"/>
              </w:rPr>
              <w:t>Sakurai (2025)</w:t>
            </w:r>
          </w:p>
        </w:tc>
        <w:tc>
          <w:tcPr>
            <w:tcW w:type="dxa" w:w="1568"/>
          </w:tcPr>
          <w:p>
            <w:pPr>
              <w:spacing w:line="260" w:lineRule="exact" w:after="0"/>
            </w:pPr>
            <w:r/>
            <w:r>
              <w:rPr>
                <w:rFonts w:ascii="Times New Roman" w:hAnsi="Times New Roman"/>
                <w:b w:val="0"/>
                <w:i w:val="0"/>
                <w:sz w:val="22"/>
              </w:rPr>
              <w:t>Correspondence / commentary</w:t>
            </w:r>
          </w:p>
        </w:tc>
        <w:tc>
          <w:tcPr>
            <w:tcW w:type="dxa" w:w="1568"/>
          </w:tcPr>
          <w:p>
            <w:pPr>
              <w:spacing w:line="260" w:lineRule="exact" w:after="0"/>
            </w:pPr>
            <w:r/>
            <w:r>
              <w:rPr>
                <w:rFonts w:ascii="Times New Roman" w:hAnsi="Times New Roman"/>
                <w:b w:val="0"/>
                <w:i w:val="0"/>
                <w:sz w:val="22"/>
              </w:rPr>
              <w:t>Response to ref 8</w:t>
            </w:r>
          </w:p>
        </w:tc>
        <w:tc>
          <w:tcPr>
            <w:tcW w:type="dxa" w:w="1568"/>
          </w:tcPr>
          <w:p>
            <w:pPr>
              <w:spacing w:line="260" w:lineRule="exact" w:after="0"/>
            </w:pPr>
            <w:r/>
            <w:r>
              <w:rPr>
                <w:rFonts w:ascii="Times New Roman" w:hAnsi="Times New Roman"/>
                <w:b w:val="0"/>
                <w:i w:val="0"/>
                <w:sz w:val="22"/>
              </w:rPr>
              <w:t>Challenges ref 8 on residual confounding grounds</w:t>
            </w:r>
          </w:p>
        </w:tc>
        <w:tc>
          <w:tcPr>
            <w:tcW w:type="dxa" w:w="1568"/>
          </w:tcPr>
          <w:p>
            <w:pPr>
              <w:spacing w:line="260" w:lineRule="exact" w:after="0"/>
            </w:pPr>
            <w:r/>
            <w:r>
              <w:rPr>
                <w:rFonts w:ascii="Times New Roman" w:hAnsi="Times New Roman"/>
                <w:b w:val="0"/>
                <w:i w:val="0"/>
                <w:sz w:val="22"/>
              </w:rPr>
              <w:t>Qualifies the mortality evidence</w:t>
            </w:r>
          </w:p>
        </w:tc>
      </w:tr>
      <w:tr>
        <w:tc>
          <w:tcPr>
            <w:tcW w:type="dxa" w:w="1568"/>
          </w:tcPr>
          <w:p>
            <w:pPr>
              <w:spacing w:line="260" w:lineRule="exact" w:after="0"/>
            </w:pPr>
            <w:r/>
            <w:r>
              <w:rPr>
                <w:rFonts w:ascii="Times New Roman" w:hAnsi="Times New Roman"/>
                <w:b w:val="0"/>
                <w:i w:val="0"/>
                <w:sz w:val="22"/>
              </w:rPr>
              <w:t>10</w:t>
            </w:r>
          </w:p>
        </w:tc>
        <w:tc>
          <w:tcPr>
            <w:tcW w:type="dxa" w:w="1568"/>
          </w:tcPr>
          <w:p>
            <w:pPr>
              <w:spacing w:line="260" w:lineRule="exact" w:after="0"/>
            </w:pPr>
            <w:r/>
            <w:r>
              <w:rPr>
                <w:rFonts w:ascii="Times New Roman" w:hAnsi="Times New Roman"/>
                <w:b w:val="0"/>
                <w:i w:val="0"/>
                <w:sz w:val="22"/>
              </w:rPr>
              <w:t>Saager (2014)</w:t>
            </w:r>
          </w:p>
        </w:tc>
        <w:tc>
          <w:tcPr>
            <w:tcW w:type="dxa" w:w="1568"/>
          </w:tcPr>
          <w:p>
            <w:pPr>
              <w:spacing w:line="260" w:lineRule="exact" w:after="0"/>
            </w:pPr>
            <w:r/>
            <w:r>
              <w:rPr>
                <w:rFonts w:ascii="Times New Roman" w:hAnsi="Times New Roman"/>
                <w:b w:val="0"/>
                <w:i w:val="0"/>
                <w:sz w:val="22"/>
              </w:rPr>
              <w:t>Retrospective cohort</w:t>
            </w:r>
          </w:p>
        </w:tc>
        <w:tc>
          <w:tcPr>
            <w:tcW w:type="dxa" w:w="1568"/>
          </w:tcPr>
          <w:p>
            <w:pPr>
              <w:spacing w:line="260" w:lineRule="exact" w:after="0"/>
            </w:pPr>
            <w:r/>
            <w:r>
              <w:rPr>
                <w:rFonts w:ascii="Times New Roman" w:hAnsi="Times New Roman"/>
                <w:b w:val="0"/>
                <w:i w:val="0"/>
                <w:sz w:val="22"/>
              </w:rPr>
              <w:t>927,307 cases, Cleveland Clinic</w:t>
            </w:r>
          </w:p>
        </w:tc>
        <w:tc>
          <w:tcPr>
            <w:tcW w:type="dxa" w:w="1568"/>
          </w:tcPr>
          <w:p>
            <w:pPr>
              <w:spacing w:line="260" w:lineRule="exact" w:after="0"/>
            </w:pPr>
            <w:r/>
            <w:r>
              <w:rPr>
                <w:rFonts w:ascii="Times New Roman" w:hAnsi="Times New Roman"/>
                <w:b w:val="0"/>
                <w:i w:val="0"/>
                <w:sz w:val="22"/>
              </w:rPr>
              <w:t>Each intraoperative anesthesia handover raises complication risk; incidence 8.8% at zero transitions to 21.2% at four or more</w:t>
            </w:r>
          </w:p>
        </w:tc>
        <w:tc>
          <w:tcPr>
            <w:tcW w:type="dxa" w:w="1568"/>
          </w:tcPr>
          <w:p>
            <w:pPr>
              <w:spacing w:line="260" w:lineRule="exact" w:after="0"/>
            </w:pPr>
            <w:r/>
            <w:r>
              <w:rPr>
                <w:rFonts w:ascii="Times New Roman" w:hAnsi="Times New Roman"/>
                <w:b w:val="0"/>
                <w:i w:val="0"/>
                <w:sz w:val="22"/>
              </w:rPr>
              <w:t>Handover-harm mechanism</w:t>
            </w:r>
          </w:p>
        </w:tc>
      </w:tr>
      <w:tr>
        <w:tc>
          <w:tcPr>
            <w:tcW w:type="dxa" w:w="1568"/>
          </w:tcPr>
          <w:p>
            <w:pPr>
              <w:spacing w:line="260" w:lineRule="exact" w:after="0"/>
            </w:pPr>
            <w:r/>
            <w:r>
              <w:rPr>
                <w:rFonts w:ascii="Times New Roman" w:hAnsi="Times New Roman"/>
                <w:b w:val="0"/>
                <w:i w:val="0"/>
                <w:sz w:val="22"/>
              </w:rPr>
              <w:t>11</w:t>
            </w:r>
          </w:p>
        </w:tc>
        <w:tc>
          <w:tcPr>
            <w:tcW w:type="dxa" w:w="1568"/>
          </w:tcPr>
          <w:p>
            <w:pPr>
              <w:spacing w:line="260" w:lineRule="exact" w:after="0"/>
            </w:pPr>
            <w:r/>
            <w:r>
              <w:rPr>
                <w:rFonts w:ascii="Times New Roman" w:hAnsi="Times New Roman"/>
                <w:b w:val="0"/>
                <w:i w:val="0"/>
                <w:sz w:val="22"/>
              </w:rPr>
              <w:t>HSSIB (2025)</w:t>
            </w:r>
          </w:p>
        </w:tc>
        <w:tc>
          <w:tcPr>
            <w:tcW w:type="dxa" w:w="1568"/>
          </w:tcPr>
          <w:p>
            <w:pPr>
              <w:spacing w:line="260" w:lineRule="exact" w:after="0"/>
            </w:pPr>
            <w:r/>
            <w:r>
              <w:rPr>
                <w:rFonts w:ascii="Times New Roman" w:hAnsi="Times New Roman"/>
                <w:b w:val="0"/>
                <w:i w:val="0"/>
                <w:sz w:val="22"/>
              </w:rPr>
              <w:t>National investigation report</w:t>
            </w:r>
          </w:p>
        </w:tc>
        <w:tc>
          <w:tcPr>
            <w:tcW w:type="dxa" w:w="1568"/>
          </w:tcPr>
          <w:p>
            <w:pPr>
              <w:spacing w:line="260" w:lineRule="exact" w:after="0"/>
            </w:pPr>
            <w:r/>
            <w:r>
              <w:rPr>
                <w:rFonts w:ascii="Times New Roman" w:hAnsi="Times New Roman"/>
                <w:b w:val="0"/>
                <w:i w:val="0"/>
                <w:sz w:val="22"/>
              </w:rPr>
              <w:t>UK healthcare staff survey</w:t>
            </w:r>
          </w:p>
        </w:tc>
        <w:tc>
          <w:tcPr>
            <w:tcW w:type="dxa" w:w="1568"/>
          </w:tcPr>
          <w:p>
            <w:pPr>
              <w:spacing w:line="260" w:lineRule="exact" w:after="0"/>
            </w:pPr>
            <w:r/>
            <w:r>
              <w:rPr>
                <w:rFonts w:ascii="Times New Roman" w:hAnsi="Times New Roman"/>
                <w:b w:val="0"/>
                <w:i w:val="0"/>
                <w:sz w:val="22"/>
              </w:rPr>
              <w:t>22% of doctors reported daily sleep deprivation; 35% said tiredness impaired their ability to treat patients</w:t>
            </w:r>
          </w:p>
        </w:tc>
        <w:tc>
          <w:tcPr>
            <w:tcW w:type="dxa" w:w="1568"/>
          </w:tcPr>
          <w:p>
            <w:pPr>
              <w:spacing w:line="260" w:lineRule="exact" w:after="0"/>
            </w:pPr>
            <w:r/>
            <w:r>
              <w:rPr>
                <w:rFonts w:ascii="Times New Roman" w:hAnsi="Times New Roman"/>
                <w:b w:val="0"/>
                <w:i w:val="0"/>
                <w:sz w:val="22"/>
              </w:rPr>
              <w:t>Fatigue-harm evidence</w:t>
            </w:r>
          </w:p>
        </w:tc>
      </w:tr>
      <w:tr>
        <w:tc>
          <w:tcPr>
            <w:tcW w:type="dxa" w:w="1568"/>
          </w:tcPr>
          <w:p>
            <w:pPr>
              <w:spacing w:line="260" w:lineRule="exact" w:after="0"/>
            </w:pPr>
            <w:r/>
            <w:r>
              <w:rPr>
                <w:rFonts w:ascii="Times New Roman" w:hAnsi="Times New Roman"/>
                <w:b w:val="0"/>
                <w:i w:val="0"/>
                <w:sz w:val="22"/>
              </w:rPr>
              <w:t>12</w:t>
            </w:r>
          </w:p>
        </w:tc>
        <w:tc>
          <w:tcPr>
            <w:tcW w:type="dxa" w:w="1568"/>
          </w:tcPr>
          <w:p>
            <w:pPr>
              <w:spacing w:line="260" w:lineRule="exact" w:after="0"/>
            </w:pPr>
            <w:r/>
            <w:r>
              <w:rPr>
                <w:rFonts w:ascii="Times New Roman" w:hAnsi="Times New Roman"/>
                <w:b w:val="0"/>
                <w:i w:val="0"/>
                <w:sz w:val="22"/>
              </w:rPr>
              <w:t>Pittman (2025)</w:t>
            </w:r>
          </w:p>
        </w:tc>
        <w:tc>
          <w:tcPr>
            <w:tcW w:type="dxa" w:w="1568"/>
          </w:tcPr>
          <w:p>
            <w:pPr>
              <w:spacing w:line="260" w:lineRule="exact" w:after="0"/>
            </w:pPr>
            <w:r/>
            <w:r>
              <w:rPr>
                <w:rFonts w:ascii="Times New Roman" w:hAnsi="Times New Roman"/>
                <w:b w:val="0"/>
                <w:i w:val="0"/>
                <w:sz w:val="22"/>
              </w:rPr>
              <w:t>Retrospective panel analysis</w:t>
            </w:r>
          </w:p>
        </w:tc>
        <w:tc>
          <w:tcPr>
            <w:tcW w:type="dxa" w:w="1568"/>
          </w:tcPr>
          <w:p>
            <w:pPr>
              <w:spacing w:line="260" w:lineRule="exact" w:after="0"/>
            </w:pPr>
            <w:r/>
            <w:r>
              <w:rPr>
                <w:rFonts w:ascii="Times New Roman" w:hAnsi="Times New Roman"/>
                <w:b w:val="0"/>
                <w:i w:val="0"/>
                <w:sz w:val="22"/>
              </w:rPr>
              <w:t>70 US hospitals</w:t>
            </w:r>
          </w:p>
        </w:tc>
        <w:tc>
          <w:tcPr>
            <w:tcW w:type="dxa" w:w="1568"/>
          </w:tcPr>
          <w:p>
            <w:pPr>
              <w:spacing w:line="260" w:lineRule="exact" w:after="0"/>
            </w:pPr>
            <w:r/>
            <w:r>
              <w:rPr>
                <w:rFonts w:ascii="Times New Roman" w:hAnsi="Times New Roman"/>
                <w:b w:val="0"/>
                <w:i w:val="0"/>
                <w:sz w:val="22"/>
              </w:rPr>
              <w:t>Overtime above a breakpoint threshold associated with 2.09% increase in pressure ulcers</w:t>
            </w:r>
          </w:p>
        </w:tc>
        <w:tc>
          <w:tcPr>
            <w:tcW w:type="dxa" w:w="1568"/>
          </w:tcPr>
          <w:p>
            <w:pPr>
              <w:spacing w:line="260" w:lineRule="exact" w:after="0"/>
            </w:pPr>
            <w:r/>
            <w:r>
              <w:rPr>
                <w:rFonts w:ascii="Times New Roman" w:hAnsi="Times New Roman"/>
                <w:b w:val="0"/>
                <w:i w:val="0"/>
                <w:sz w:val="22"/>
              </w:rPr>
              <w:t>Patient-harm evidence (nursing-specific)</w:t>
            </w:r>
          </w:p>
        </w:tc>
      </w:tr>
      <w:tr>
        <w:tc>
          <w:tcPr>
            <w:tcW w:type="dxa" w:w="1568"/>
          </w:tcPr>
          <w:p>
            <w:pPr>
              <w:spacing w:line="260" w:lineRule="exact" w:after="0"/>
            </w:pPr>
            <w:r/>
            <w:r>
              <w:rPr>
                <w:rFonts w:ascii="Times New Roman" w:hAnsi="Times New Roman"/>
                <w:b w:val="0"/>
                <w:i w:val="0"/>
                <w:sz w:val="22"/>
              </w:rPr>
              <w:t>13</w:t>
            </w:r>
          </w:p>
        </w:tc>
        <w:tc>
          <w:tcPr>
            <w:tcW w:type="dxa" w:w="1568"/>
          </w:tcPr>
          <w:p>
            <w:pPr>
              <w:spacing w:line="260" w:lineRule="exact" w:after="0"/>
            </w:pPr>
            <w:r/>
            <w:r>
              <w:rPr>
                <w:rFonts w:ascii="Times New Roman" w:hAnsi="Times New Roman"/>
                <w:b w:val="0"/>
                <w:i w:val="0"/>
                <w:sz w:val="22"/>
              </w:rPr>
              <w:t>Althoff (2021)</w:t>
            </w:r>
          </w:p>
        </w:tc>
        <w:tc>
          <w:tcPr>
            <w:tcW w:type="dxa" w:w="1568"/>
          </w:tcPr>
          <w:p>
            <w:pPr>
              <w:spacing w:line="260" w:lineRule="exact" w:after="0"/>
            </w:pPr>
            <w:r/>
            <w:r>
              <w:rPr>
                <w:rFonts w:ascii="Times New Roman" w:hAnsi="Times New Roman"/>
                <w:b w:val="0"/>
                <w:i w:val="0"/>
                <w:sz w:val="22"/>
              </w:rPr>
              <w:t>Retrospective multicenter cohort</w:t>
            </w:r>
          </w:p>
        </w:tc>
        <w:tc>
          <w:tcPr>
            <w:tcW w:type="dxa" w:w="1568"/>
          </w:tcPr>
          <w:p>
            <w:pPr>
              <w:spacing w:line="260" w:lineRule="exact" w:after="0"/>
            </w:pPr>
            <w:r/>
            <w:r>
              <w:rPr>
                <w:rFonts w:ascii="Times New Roman" w:hAnsi="Times New Roman"/>
                <w:b w:val="0"/>
                <w:i w:val="0"/>
                <w:sz w:val="22"/>
              </w:rPr>
              <w:t>350,000+ non-cardiac surgical cases</w:t>
            </w:r>
          </w:p>
        </w:tc>
        <w:tc>
          <w:tcPr>
            <w:tcW w:type="dxa" w:w="1568"/>
          </w:tcPr>
          <w:p>
            <w:pPr>
              <w:spacing w:line="260" w:lineRule="exact" w:after="0"/>
            </w:pPr>
            <w:r/>
            <w:r>
              <w:rPr>
                <w:rFonts w:ascii="Times New Roman" w:hAnsi="Times New Roman"/>
                <w:b w:val="0"/>
                <w:i w:val="0"/>
                <w:sz w:val="22"/>
              </w:rPr>
              <w:t>Night surgery associated with increased morbidity (adjusted OR 1.41), mediated by transfusion rates and handovers</w:t>
            </w:r>
          </w:p>
        </w:tc>
        <w:tc>
          <w:tcPr>
            <w:tcW w:type="dxa" w:w="1568"/>
          </w:tcPr>
          <w:p>
            <w:pPr>
              <w:spacing w:line="260" w:lineRule="exact" w:after="0"/>
            </w:pPr>
            <w:r/>
            <w:r>
              <w:rPr>
                <w:rFonts w:ascii="Times New Roman" w:hAnsi="Times New Roman"/>
                <w:b w:val="0"/>
                <w:i w:val="0"/>
                <w:sz w:val="22"/>
              </w:rPr>
              <w:t>Patient-harm evidence, morbidity</w:t>
            </w:r>
          </w:p>
        </w:tc>
      </w:tr>
      <w:tr>
        <w:tc>
          <w:tcPr>
            <w:tcW w:type="dxa" w:w="1568"/>
          </w:tcPr>
          <w:p>
            <w:pPr>
              <w:spacing w:line="260" w:lineRule="exact" w:after="0"/>
            </w:pPr>
            <w:r/>
            <w:r>
              <w:rPr>
                <w:rFonts w:ascii="Times New Roman" w:hAnsi="Times New Roman"/>
                <w:b w:val="0"/>
                <w:i w:val="0"/>
                <w:sz w:val="22"/>
              </w:rPr>
              <w:t>14</w:t>
            </w:r>
          </w:p>
        </w:tc>
        <w:tc>
          <w:tcPr>
            <w:tcW w:type="dxa" w:w="1568"/>
          </w:tcPr>
          <w:p>
            <w:pPr>
              <w:spacing w:line="260" w:lineRule="exact" w:after="0"/>
            </w:pPr>
            <w:r/>
            <w:r>
              <w:rPr>
                <w:rFonts w:ascii="Times New Roman" w:hAnsi="Times New Roman"/>
                <w:b w:val="0"/>
                <w:i w:val="0"/>
                <w:sz w:val="22"/>
              </w:rPr>
              <w:t>Joseph (2019)</w:t>
            </w:r>
          </w:p>
        </w:tc>
        <w:tc>
          <w:tcPr>
            <w:tcW w:type="dxa" w:w="1568"/>
          </w:tcPr>
          <w:p>
            <w:pPr>
              <w:spacing w:line="260" w:lineRule="exact" w:after="0"/>
            </w:pPr>
            <w:r/>
            <w:r>
              <w:rPr>
                <w:rFonts w:ascii="Times New Roman" w:hAnsi="Times New Roman"/>
                <w:b w:val="0"/>
                <w:i w:val="0"/>
                <w:sz w:val="22"/>
              </w:rPr>
              <w:t>Prospective observational</w:t>
            </w:r>
          </w:p>
        </w:tc>
        <w:tc>
          <w:tcPr>
            <w:tcW w:type="dxa" w:w="1568"/>
          </w:tcPr>
          <w:p>
            <w:pPr>
              <w:spacing w:line="260" w:lineRule="exact" w:after="0"/>
            </w:pPr>
            <w:r/>
            <w:r>
              <w:rPr>
                <w:rFonts w:ascii="Times New Roman" w:hAnsi="Times New Roman"/>
                <w:b w:val="0"/>
                <w:i w:val="0"/>
                <w:sz w:val="22"/>
              </w:rPr>
              <w:t>34 surgical cases, direct observation</w:t>
            </w:r>
          </w:p>
        </w:tc>
        <w:tc>
          <w:tcPr>
            <w:tcW w:type="dxa" w:w="1568"/>
          </w:tcPr>
          <w:p>
            <w:pPr>
              <w:spacing w:line="260" w:lineRule="exact" w:after="0"/>
            </w:pPr>
            <w:r/>
            <w:r>
              <w:rPr>
                <w:rFonts w:ascii="Times New Roman" w:hAnsi="Times New Roman"/>
                <w:b w:val="0"/>
                <w:i w:val="0"/>
                <w:sz w:val="22"/>
              </w:rPr>
              <w:t>Minor flow disruptions increase the odds of major flow disruptions</w:t>
            </w:r>
          </w:p>
        </w:tc>
        <w:tc>
          <w:tcPr>
            <w:tcW w:type="dxa" w:w="1568"/>
          </w:tcPr>
          <w:p>
            <w:pPr>
              <w:spacing w:line="260" w:lineRule="exact" w:after="0"/>
            </w:pPr>
            <w:r/>
            <w:r>
              <w:rPr>
                <w:rFonts w:ascii="Times New Roman" w:hAnsi="Times New Roman"/>
                <w:b w:val="0"/>
                <w:i w:val="0"/>
                <w:sz w:val="22"/>
              </w:rPr>
              <w:t>Disruption-cascade mechanism</w:t>
            </w:r>
          </w:p>
        </w:tc>
      </w:tr>
      <w:tr>
        <w:tc>
          <w:tcPr>
            <w:tcW w:type="dxa" w:w="1568"/>
          </w:tcPr>
          <w:p>
            <w:pPr>
              <w:spacing w:line="260" w:lineRule="exact" w:after="0"/>
            </w:pPr>
            <w:r/>
            <w:r>
              <w:rPr>
                <w:rFonts w:ascii="Times New Roman" w:hAnsi="Times New Roman"/>
                <w:b w:val="0"/>
                <w:i w:val="0"/>
                <w:sz w:val="22"/>
              </w:rPr>
              <w:t>15</w:t>
            </w:r>
          </w:p>
        </w:tc>
        <w:tc>
          <w:tcPr>
            <w:tcW w:type="dxa" w:w="1568"/>
          </w:tcPr>
          <w:p>
            <w:pPr>
              <w:spacing w:line="260" w:lineRule="exact" w:after="0"/>
            </w:pPr>
            <w:r/>
            <w:r>
              <w:rPr>
                <w:rFonts w:ascii="Times New Roman" w:hAnsi="Times New Roman"/>
                <w:b w:val="0"/>
                <w:i w:val="0"/>
                <w:sz w:val="22"/>
              </w:rPr>
              <w:t>Koch (2020)</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29 studies on OR workflow disruptions</w:t>
            </w:r>
          </w:p>
        </w:tc>
        <w:tc>
          <w:tcPr>
            <w:tcW w:type="dxa" w:w="1568"/>
          </w:tcPr>
          <w:p>
            <w:pPr>
              <w:spacing w:line="260" w:lineRule="exact" w:after="0"/>
            </w:pPr>
            <w:r/>
            <w:r>
              <w:rPr>
                <w:rFonts w:ascii="Times New Roman" w:hAnsi="Times New Roman"/>
                <w:b w:val="0"/>
                <w:i w:val="0"/>
                <w:sz w:val="22"/>
              </w:rPr>
              <w:t>Workflow disruptions associated with longer operative times and poorer surgical outcomes</w:t>
            </w:r>
          </w:p>
        </w:tc>
        <w:tc>
          <w:tcPr>
            <w:tcW w:type="dxa" w:w="1568"/>
          </w:tcPr>
          <w:p>
            <w:pPr>
              <w:spacing w:line="260" w:lineRule="exact" w:after="0"/>
            </w:pPr>
            <w:r/>
            <w:r>
              <w:rPr>
                <w:rFonts w:ascii="Times New Roman" w:hAnsi="Times New Roman"/>
                <w:b w:val="0"/>
                <w:i w:val="0"/>
                <w:sz w:val="22"/>
              </w:rPr>
              <w:t>Disruption-cascade mechanism</w:t>
            </w:r>
          </w:p>
        </w:tc>
      </w:tr>
      <w:tr>
        <w:tc>
          <w:tcPr>
            <w:tcW w:type="dxa" w:w="1568"/>
          </w:tcPr>
          <w:p>
            <w:pPr>
              <w:spacing w:line="260" w:lineRule="exact" w:after="0"/>
            </w:pPr>
            <w:r/>
            <w:r>
              <w:rPr>
                <w:rFonts w:ascii="Times New Roman" w:hAnsi="Times New Roman"/>
                <w:b w:val="0"/>
                <w:i w:val="0"/>
                <w:sz w:val="22"/>
              </w:rPr>
              <w:t>16</w:t>
            </w:r>
          </w:p>
        </w:tc>
        <w:tc>
          <w:tcPr>
            <w:tcW w:type="dxa" w:w="1568"/>
          </w:tcPr>
          <w:p>
            <w:pPr>
              <w:spacing w:line="260" w:lineRule="exact" w:after="0"/>
            </w:pPr>
            <w:r/>
            <w:r>
              <w:rPr>
                <w:rFonts w:ascii="Times New Roman" w:hAnsi="Times New Roman"/>
                <w:b w:val="0"/>
                <w:i w:val="0"/>
                <w:sz w:val="22"/>
              </w:rPr>
              <w:t>Zhang (2024)</w:t>
            </w:r>
          </w:p>
        </w:tc>
        <w:tc>
          <w:tcPr>
            <w:tcW w:type="dxa" w:w="1568"/>
          </w:tcPr>
          <w:p>
            <w:pPr>
              <w:spacing w:line="260" w:lineRule="exact" w:after="0"/>
            </w:pPr>
            <w:r/>
            <w:r>
              <w:rPr>
                <w:rFonts w:ascii="Times New Roman" w:hAnsi="Times New Roman"/>
                <w:b w:val="0"/>
                <w:i w:val="0"/>
                <w:sz w:val="22"/>
              </w:rPr>
              <w:t>Tutorial / methodological commentary</w:t>
            </w:r>
          </w:p>
        </w:tc>
        <w:tc>
          <w:tcPr>
            <w:tcW w:type="dxa" w:w="1568"/>
          </w:tcPr>
          <w:p>
            <w:pPr>
              <w:spacing w:line="260" w:lineRule="exact" w:after="0"/>
            </w:pPr>
            <w:r/>
            <w:r>
              <w:rPr>
                <w:rFonts w:ascii="Times New Roman" w:hAnsi="Times New Roman"/>
                <w:b w:val="0"/>
                <w:i w:val="0"/>
                <w:sz w:val="22"/>
              </w:rPr>
              <w:t>NHS Model Hospital data</w:t>
            </w:r>
          </w:p>
        </w:tc>
        <w:tc>
          <w:tcPr>
            <w:tcW w:type="dxa" w:w="1568"/>
          </w:tcPr>
          <w:p>
            <w:pPr>
              <w:spacing w:line="260" w:lineRule="exact" w:after="0"/>
            </w:pPr>
            <w:r/>
            <w:r>
              <w:rPr>
                <w:rFonts w:ascii="Times New Roman" w:hAnsi="Times New Roman"/>
                <w:b w:val="0"/>
                <w:i w:val="0"/>
                <w:sz w:val="22"/>
              </w:rPr>
              <w:t>Aggregate utilisation metrics (capped utilisation) can hide room-level operational problems</w:t>
            </w:r>
          </w:p>
        </w:tc>
        <w:tc>
          <w:tcPr>
            <w:tcW w:type="dxa" w:w="1568"/>
          </w:tcPr>
          <w:p>
            <w:pPr>
              <w:spacing w:line="260" w:lineRule="exact" w:after="0"/>
            </w:pPr>
            <w:r/>
            <w:r>
              <w:rPr>
                <w:rFonts w:ascii="Times New Roman" w:hAnsi="Times New Roman"/>
                <w:b w:val="0"/>
                <w:i w:val="0"/>
                <w:sz w:val="22"/>
              </w:rPr>
              <w:t>Motivates room-level analysis</w:t>
            </w:r>
          </w:p>
        </w:tc>
      </w:tr>
      <w:tr>
        <w:tc>
          <w:tcPr>
            <w:tcW w:type="dxa" w:w="1568"/>
          </w:tcPr>
          <w:p>
            <w:pPr>
              <w:spacing w:line="260" w:lineRule="exact" w:after="0"/>
            </w:pPr>
            <w:r/>
            <w:r>
              <w:rPr>
                <w:rFonts w:ascii="Times New Roman" w:hAnsi="Times New Roman"/>
                <w:b w:val="0"/>
                <w:i w:val="0"/>
                <w:sz w:val="22"/>
              </w:rPr>
              <w:t>17</w:t>
            </w:r>
          </w:p>
        </w:tc>
        <w:tc>
          <w:tcPr>
            <w:tcW w:type="dxa" w:w="1568"/>
          </w:tcPr>
          <w:p>
            <w:pPr>
              <w:spacing w:line="260" w:lineRule="exact" w:after="0"/>
            </w:pPr>
            <w:r/>
            <w:r>
              <w:rPr>
                <w:rFonts w:ascii="Times New Roman" w:hAnsi="Times New Roman"/>
                <w:b w:val="0"/>
                <w:i w:val="0"/>
                <w:sz w:val="22"/>
              </w:rPr>
              <w:t>Macario (2006)</w:t>
            </w:r>
          </w:p>
        </w:tc>
        <w:tc>
          <w:tcPr>
            <w:tcW w:type="dxa" w:w="1568"/>
          </w:tcPr>
          <w:p>
            <w:pPr>
              <w:spacing w:line="260" w:lineRule="exact" w:after="0"/>
            </w:pPr>
            <w:r/>
            <w:r>
              <w:rPr>
                <w:rFonts w:ascii="Times New Roman" w:hAnsi="Times New Roman"/>
                <w:b w:val="0"/>
                <w:i w:val="0"/>
                <w:sz w:val="22"/>
              </w:rPr>
              <w:t>Expert opinion / scoring system</w:t>
            </w:r>
          </w:p>
        </w:tc>
        <w:tc>
          <w:tcPr>
            <w:tcW w:type="dxa" w:w="1568"/>
          </w:tcPr>
          <w:p>
            <w:pPr>
              <w:spacing w:line="260" w:lineRule="exact" w:after="0"/>
            </w:pPr>
            <w:r/>
            <w:r>
              <w:rPr>
                <w:rFonts w:ascii="Times New Roman" w:hAnsi="Times New Roman"/>
                <w:b w:val="0"/>
                <w:i w:val="0"/>
                <w:sz w:val="22"/>
              </w:rPr>
              <w:t>8 OR performance indicators</w:t>
            </w:r>
          </w:p>
        </w:tc>
        <w:tc>
          <w:tcPr>
            <w:tcW w:type="dxa" w:w="1568"/>
          </w:tcPr>
          <w:p>
            <w:pPr>
              <w:spacing w:line="260" w:lineRule="exact" w:after="0"/>
            </w:pPr>
            <w:r/>
            <w:r>
              <w:rPr>
                <w:rFonts w:ascii="Times New Roman" w:hAnsi="Times New Roman"/>
                <w:b w:val="0"/>
                <w:i w:val="0"/>
                <w:sz w:val="22"/>
              </w:rPr>
              <w:t>Proposes hospital-level efficiency indicators; does not address room-level variation</w:t>
            </w:r>
          </w:p>
        </w:tc>
        <w:tc>
          <w:tcPr>
            <w:tcW w:type="dxa" w:w="1568"/>
          </w:tcPr>
          <w:p>
            <w:pPr>
              <w:spacing w:line="260" w:lineRule="exact" w:after="0"/>
            </w:pPr>
            <w:r/>
            <w:r>
              <w:rPr>
                <w:rFonts w:ascii="Times New Roman" w:hAnsi="Times New Roman"/>
                <w:b w:val="0"/>
                <w:i w:val="0"/>
                <w:sz w:val="22"/>
              </w:rPr>
              <w:t>Motivates room-level analysis</w:t>
            </w:r>
          </w:p>
        </w:tc>
      </w:tr>
      <w:tr>
        <w:tc>
          <w:tcPr>
            <w:tcW w:type="dxa" w:w="1568"/>
          </w:tcPr>
          <w:p>
            <w:pPr>
              <w:spacing w:line="260" w:lineRule="exact" w:after="0"/>
            </w:pPr>
            <w:r/>
            <w:r>
              <w:rPr>
                <w:rFonts w:ascii="Times New Roman" w:hAnsi="Times New Roman"/>
                <w:b w:val="0"/>
                <w:i w:val="0"/>
                <w:sz w:val="22"/>
              </w:rPr>
              <w:t>18</w:t>
            </w:r>
          </w:p>
        </w:tc>
        <w:tc>
          <w:tcPr>
            <w:tcW w:type="dxa" w:w="1568"/>
          </w:tcPr>
          <w:p>
            <w:pPr>
              <w:spacing w:line="260" w:lineRule="exact" w:after="0"/>
            </w:pPr>
            <w:r/>
            <w:r>
              <w:rPr>
                <w:rFonts w:ascii="Times New Roman" w:hAnsi="Times New Roman"/>
                <w:b w:val="0"/>
                <w:i w:val="0"/>
                <w:sz w:val="22"/>
              </w:rPr>
              <w:t>Bauer (2020)</w:t>
            </w:r>
          </w:p>
        </w:tc>
        <w:tc>
          <w:tcPr>
            <w:tcW w:type="dxa" w:w="1568"/>
          </w:tcPr>
          <w:p>
            <w:pPr>
              <w:spacing w:line="260" w:lineRule="exact" w:after="0"/>
            </w:pPr>
            <w:r/>
            <w:r>
              <w:rPr>
                <w:rFonts w:ascii="Times New Roman" w:hAnsi="Times New Roman"/>
                <w:b w:val="0"/>
                <w:i w:val="0"/>
                <w:sz w:val="22"/>
              </w:rPr>
              <w:t>Glossary / consensus definitions</w:t>
            </w:r>
          </w:p>
        </w:tc>
        <w:tc>
          <w:tcPr>
            <w:tcW w:type="dxa" w:w="1568"/>
          </w:tcPr>
          <w:p>
            <w:pPr>
              <w:spacing w:line="260" w:lineRule="exact" w:after="0"/>
            </w:pPr>
            <w:r/>
            <w:r>
              <w:rPr>
                <w:rFonts w:ascii="Times New Roman" w:hAnsi="Times New Roman"/>
                <w:b w:val="0"/>
                <w:i w:val="0"/>
                <w:sz w:val="22"/>
              </w:rPr>
              <w:t>Perioperative process times</w:t>
            </w:r>
          </w:p>
        </w:tc>
        <w:tc>
          <w:tcPr>
            <w:tcW w:type="dxa" w:w="1568"/>
          </w:tcPr>
          <w:p>
            <w:pPr>
              <w:spacing w:line="260" w:lineRule="exact" w:after="0"/>
            </w:pPr>
            <w:r/>
            <w:r>
              <w:rPr>
                <w:rFonts w:ascii="Times New Roman" w:hAnsi="Times New Roman"/>
                <w:b w:val="0"/>
                <w:i w:val="0"/>
                <w:sz w:val="22"/>
              </w:rPr>
              <w:t>Standardised definitions of overtime, utilisation, and related perioperative time intervals</w:t>
            </w:r>
          </w:p>
        </w:tc>
        <w:tc>
          <w:tcPr>
            <w:tcW w:type="dxa" w:w="1568"/>
          </w:tcPr>
          <w:p>
            <w:pPr>
              <w:spacing w:line="260" w:lineRule="exact" w:after="0"/>
            </w:pPr>
            <w:r/>
            <w:r>
              <w:rPr>
                <w:rFonts w:ascii="Times New Roman" w:hAnsi="Times New Roman"/>
                <w:b w:val="0"/>
                <w:i w:val="0"/>
                <w:sz w:val="22"/>
              </w:rPr>
              <w:t>Provides the overtime definition used in this study</w:t>
            </w:r>
          </w:p>
        </w:tc>
      </w:tr>
      <w:tr>
        <w:tc>
          <w:tcPr>
            <w:tcW w:type="dxa" w:w="1568"/>
          </w:tcPr>
          <w:p>
            <w:pPr>
              <w:spacing w:line="260" w:lineRule="exact" w:after="0"/>
            </w:pPr>
            <w:r/>
            <w:r>
              <w:rPr>
                <w:rFonts w:ascii="Times New Roman" w:hAnsi="Times New Roman"/>
                <w:b w:val="0"/>
                <w:i w:val="0"/>
                <w:sz w:val="22"/>
              </w:rPr>
              <w:t>19</w:t>
            </w:r>
          </w:p>
        </w:tc>
        <w:tc>
          <w:tcPr>
            <w:tcW w:type="dxa" w:w="1568"/>
          </w:tcPr>
          <w:p>
            <w:pPr>
              <w:spacing w:line="260" w:lineRule="exact" w:after="0"/>
            </w:pPr>
            <w:r/>
            <w:r>
              <w:rPr>
                <w:rFonts w:ascii="Times New Roman" w:hAnsi="Times New Roman"/>
                <w:b w:val="0"/>
                <w:i w:val="0"/>
                <w:sz w:val="22"/>
              </w:rPr>
              <w:t>Schouten (2023)</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52 studies on OR performance metrics</w:t>
            </w:r>
          </w:p>
        </w:tc>
        <w:tc>
          <w:tcPr>
            <w:tcW w:type="dxa" w:w="1568"/>
          </w:tcPr>
          <w:p>
            <w:pPr>
              <w:spacing w:line="260" w:lineRule="exact" w:after="0"/>
            </w:pPr>
            <w:r/>
            <w:r>
              <w:rPr>
                <w:rFonts w:ascii="Times New Roman" w:hAnsi="Times New Roman"/>
                <w:b w:val="0"/>
                <w:i w:val="0"/>
                <w:sz w:val="22"/>
              </w:rPr>
              <w:t>Catalogues OR performance metrics; notes lack of standardisation across studies</w:t>
            </w:r>
          </w:p>
        </w:tc>
        <w:tc>
          <w:tcPr>
            <w:tcW w:type="dxa" w:w="1568"/>
          </w:tcPr>
          <w:p>
            <w:pPr>
              <w:spacing w:line="260" w:lineRule="exact" w:after="0"/>
            </w:pPr>
            <w:r/>
            <w:r>
              <w:rPr>
                <w:rFonts w:ascii="Times New Roman" w:hAnsi="Times New Roman"/>
                <w:b w:val="0"/>
                <w:i w:val="0"/>
                <w:sz w:val="22"/>
              </w:rPr>
              <w:t>Supports the need for valid room-level metrics</w:t>
            </w:r>
          </w:p>
        </w:tc>
      </w:tr>
      <w:tr>
        <w:tc>
          <w:tcPr>
            <w:tcW w:type="dxa" w:w="1568"/>
          </w:tcPr>
          <w:p>
            <w:pPr>
              <w:spacing w:line="260" w:lineRule="exact" w:after="0"/>
            </w:pPr>
            <w:r/>
            <w:r>
              <w:rPr>
                <w:rFonts w:ascii="Times New Roman" w:hAnsi="Times New Roman"/>
                <w:b w:val="0"/>
                <w:i w:val="0"/>
                <w:sz w:val="22"/>
              </w:rPr>
              <w:t>20</w:t>
            </w:r>
          </w:p>
        </w:tc>
        <w:tc>
          <w:tcPr>
            <w:tcW w:type="dxa" w:w="1568"/>
          </w:tcPr>
          <w:p>
            <w:pPr>
              <w:spacing w:line="260" w:lineRule="exact" w:after="0"/>
            </w:pPr>
            <w:r/>
            <w:r>
              <w:rPr>
                <w:rFonts w:ascii="Times New Roman" w:hAnsi="Times New Roman"/>
                <w:b w:val="0"/>
                <w:i w:val="0"/>
                <w:sz w:val="22"/>
              </w:rPr>
              <w:t>Strum (2000)</w:t>
            </w:r>
          </w:p>
        </w:tc>
        <w:tc>
          <w:tcPr>
            <w:tcW w:type="dxa" w:w="1568"/>
          </w:tcPr>
          <w:p>
            <w:pPr>
              <w:spacing w:line="260" w:lineRule="exact" w:after="0"/>
            </w:pPr>
            <w:r/>
            <w:r>
              <w:rPr>
                <w:rFonts w:ascii="Times New Roman" w:hAnsi="Times New Roman"/>
                <w:b w:val="0"/>
                <w:i w:val="0"/>
                <w:sz w:val="22"/>
              </w:rPr>
              <w:t>Methodological study</w:t>
            </w:r>
          </w:p>
        </w:tc>
        <w:tc>
          <w:tcPr>
            <w:tcW w:type="dxa" w:w="1568"/>
          </w:tcPr>
          <w:p>
            <w:pPr>
              <w:spacing w:line="260" w:lineRule="exact" w:after="0"/>
            </w:pPr>
            <w:r/>
            <w:r>
              <w:rPr>
                <w:rFonts w:ascii="Times New Roman" w:hAnsi="Times New Roman"/>
                <w:b w:val="0"/>
                <w:i w:val="0"/>
                <w:sz w:val="22"/>
              </w:rPr>
              <w:t>7,846 cases, surgical duration distributions</w:t>
            </w:r>
          </w:p>
        </w:tc>
        <w:tc>
          <w:tcPr>
            <w:tcW w:type="dxa" w:w="1568"/>
          </w:tcPr>
          <w:p>
            <w:pPr>
              <w:spacing w:line="260" w:lineRule="exact" w:after="0"/>
            </w:pPr>
            <w:r/>
            <w:r>
              <w:rPr>
                <w:rFonts w:ascii="Times New Roman" w:hAnsi="Times New Roman"/>
                <w:b w:val="0"/>
                <w:i w:val="0"/>
                <w:sz w:val="22"/>
              </w:rPr>
              <w:t>Surgical duration follows a log-normal distribution; CV varies by procedure type</w:t>
            </w:r>
          </w:p>
        </w:tc>
        <w:tc>
          <w:tcPr>
            <w:tcW w:type="dxa" w:w="1568"/>
          </w:tcPr>
          <w:p>
            <w:pPr>
              <w:spacing w:line="260" w:lineRule="exact" w:after="0"/>
            </w:pPr>
            <w:r/>
            <w:r>
              <w:rPr>
                <w:rFonts w:ascii="Times New Roman" w:hAnsi="Times New Roman"/>
                <w:b w:val="0"/>
                <w:i w:val="0"/>
                <w:sz w:val="22"/>
              </w:rPr>
              <w:t>Supports the CV-based analysis of planning accuracy</w:t>
            </w:r>
          </w:p>
        </w:tc>
      </w:tr>
      <w:tr>
        <w:tc>
          <w:tcPr>
            <w:tcW w:type="dxa" w:w="1568"/>
          </w:tcPr>
          <w:p>
            <w:pPr>
              <w:spacing w:line="260" w:lineRule="exact" w:after="0"/>
            </w:pPr>
            <w:r/>
            <w:r>
              <w:rPr>
                <w:rFonts w:ascii="Times New Roman" w:hAnsi="Times New Roman"/>
                <w:b w:val="0"/>
                <w:i w:val="0"/>
                <w:sz w:val="22"/>
              </w:rPr>
              <w:t>21</w:t>
            </w:r>
          </w:p>
        </w:tc>
        <w:tc>
          <w:tcPr>
            <w:tcW w:type="dxa" w:w="1568"/>
          </w:tcPr>
          <w:p>
            <w:pPr>
              <w:spacing w:line="260" w:lineRule="exact" w:after="0"/>
            </w:pPr>
            <w:r/>
            <w:r>
              <w:rPr>
                <w:rFonts w:ascii="Times New Roman" w:hAnsi="Times New Roman"/>
                <w:b w:val="0"/>
                <w:i w:val="0"/>
                <w:sz w:val="22"/>
              </w:rPr>
              <w:t>Eijkemans (2010)</w:t>
            </w:r>
          </w:p>
        </w:tc>
        <w:tc>
          <w:tcPr>
            <w:tcW w:type="dxa" w:w="1568"/>
          </w:tcPr>
          <w:p>
            <w:pPr>
              <w:spacing w:line="260" w:lineRule="exact" w:after="0"/>
            </w:pPr>
            <w:r/>
            <w:r>
              <w:rPr>
                <w:rFonts w:ascii="Times New Roman" w:hAnsi="Times New Roman"/>
                <w:b w:val="0"/>
                <w:i w:val="0"/>
                <w:sz w:val="22"/>
              </w:rPr>
              <w:t>Prediction model development</w:t>
            </w:r>
          </w:p>
        </w:tc>
        <w:tc>
          <w:tcPr>
            <w:tcW w:type="dxa" w:w="1568"/>
          </w:tcPr>
          <w:p>
            <w:pPr>
              <w:spacing w:line="260" w:lineRule="exact" w:after="0"/>
            </w:pPr>
            <w:r/>
            <w:r>
              <w:rPr>
                <w:rFonts w:ascii="Times New Roman" w:hAnsi="Times New Roman"/>
                <w:b w:val="0"/>
                <w:i w:val="0"/>
                <w:sz w:val="22"/>
              </w:rPr>
              <w:t>2,709 cases, Erasmus MC</w:t>
            </w:r>
          </w:p>
        </w:tc>
        <w:tc>
          <w:tcPr>
            <w:tcW w:type="dxa" w:w="1568"/>
          </w:tcPr>
          <w:p>
            <w:pPr>
              <w:spacing w:line="260" w:lineRule="exact" w:after="0"/>
            </w:pPr>
            <w:r/>
            <w:r>
              <w:rPr>
                <w:rFonts w:ascii="Times New Roman" w:hAnsi="Times New Roman"/>
                <w:b w:val="0"/>
                <w:i w:val="0"/>
                <w:sz w:val="22"/>
              </w:rPr>
              <w:t>Surgeon-specific historical data improve duration prediction; residual variability remains substantial</w:t>
            </w:r>
          </w:p>
        </w:tc>
        <w:tc>
          <w:tcPr>
            <w:tcW w:type="dxa" w:w="1568"/>
          </w:tcPr>
          <w:p>
            <w:pPr>
              <w:spacing w:line="260" w:lineRule="exact" w:after="0"/>
            </w:pPr>
            <w:r/>
            <w:r>
              <w:rPr>
                <w:rFonts w:ascii="Times New Roman" w:hAnsi="Times New Roman"/>
                <w:b w:val="0"/>
                <w:i w:val="0"/>
                <w:sz w:val="22"/>
              </w:rPr>
              <w:t>Supports the CV-based analysis of planning accuracy</w:t>
            </w:r>
          </w:p>
        </w:tc>
      </w:tr>
      <w:tr>
        <w:tc>
          <w:tcPr>
            <w:tcW w:type="dxa" w:w="1568"/>
          </w:tcPr>
          <w:p>
            <w:pPr>
              <w:spacing w:line="260" w:lineRule="exact" w:after="0"/>
            </w:pPr>
            <w:r/>
            <w:r>
              <w:rPr>
                <w:rFonts w:ascii="Times New Roman" w:hAnsi="Times New Roman"/>
                <w:b w:val="0"/>
                <w:i w:val="0"/>
                <w:sz w:val="22"/>
              </w:rPr>
              <w:t>22</w:t>
            </w:r>
          </w:p>
        </w:tc>
        <w:tc>
          <w:tcPr>
            <w:tcW w:type="dxa" w:w="1568"/>
          </w:tcPr>
          <w:p>
            <w:pPr>
              <w:spacing w:line="260" w:lineRule="exact" w:after="0"/>
            </w:pPr>
            <w:r/>
            <w:r>
              <w:rPr>
                <w:rFonts w:ascii="Times New Roman" w:hAnsi="Times New Roman"/>
                <w:b w:val="0"/>
                <w:i w:val="0"/>
                <w:sz w:val="22"/>
              </w:rPr>
              <w:t>MacMillan (2025)</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37 studies on OR turnover time</w:t>
            </w:r>
          </w:p>
        </w:tc>
        <w:tc>
          <w:tcPr>
            <w:tcW w:type="dxa" w:w="1568"/>
          </w:tcPr>
          <w:p>
            <w:pPr>
              <w:spacing w:line="260" w:lineRule="exact" w:after="0"/>
            </w:pPr>
            <w:r/>
            <w:r>
              <w:rPr>
                <w:rFonts w:ascii="Times New Roman" w:hAnsi="Times New Roman"/>
                <w:b w:val="0"/>
                <w:i w:val="0"/>
                <w:sz w:val="22"/>
              </w:rPr>
              <w:t>Maps factors affecting turnover time; median turnover across studies was 25–45 minutes</w:t>
            </w:r>
          </w:p>
        </w:tc>
        <w:tc>
          <w:tcPr>
            <w:tcW w:type="dxa" w:w="1568"/>
          </w:tcPr>
          <w:p>
            <w:pPr>
              <w:spacing w:line="260" w:lineRule="exact" w:after="0"/>
            </w:pPr>
            <w:r/>
            <w:r>
              <w:rPr>
                <w:rFonts w:ascii="Times New Roman" w:hAnsi="Times New Roman"/>
                <w:b w:val="0"/>
                <w:i w:val="0"/>
                <w:sz w:val="22"/>
              </w:rPr>
              <w:t>Contextualises our inter-case idle time findings</w:t>
            </w:r>
          </w:p>
        </w:tc>
      </w:tr>
      <w:tr>
        <w:tc>
          <w:tcPr>
            <w:tcW w:type="dxa" w:w="1568"/>
          </w:tcPr>
          <w:p>
            <w:pPr>
              <w:spacing w:line="260" w:lineRule="exact" w:after="0"/>
            </w:pPr>
            <w:r/>
            <w:r>
              <w:rPr>
                <w:rFonts w:ascii="Times New Roman" w:hAnsi="Times New Roman"/>
                <w:b w:val="0"/>
                <w:i w:val="0"/>
                <w:sz w:val="22"/>
              </w:rPr>
              <w:t>23</w:t>
            </w:r>
          </w:p>
        </w:tc>
        <w:tc>
          <w:tcPr>
            <w:tcW w:type="dxa" w:w="1568"/>
          </w:tcPr>
          <w:p>
            <w:pPr>
              <w:spacing w:line="260" w:lineRule="exact" w:after="0"/>
            </w:pPr>
            <w:r/>
            <w:r>
              <w:rPr>
                <w:rFonts w:ascii="Times New Roman" w:hAnsi="Times New Roman"/>
                <w:b w:val="0"/>
                <w:i w:val="0"/>
                <w:sz w:val="22"/>
              </w:rPr>
              <w:t>Pandit (2012)</w:t>
            </w:r>
          </w:p>
        </w:tc>
        <w:tc>
          <w:tcPr>
            <w:tcW w:type="dxa" w:w="1568"/>
          </w:tcPr>
          <w:p>
            <w:pPr>
              <w:spacing w:line="260" w:lineRule="exact" w:after="0"/>
            </w:pPr>
            <w:r/>
            <w:r>
              <w:rPr>
                <w:rFonts w:ascii="Times New Roman" w:hAnsi="Times New Roman"/>
                <w:b w:val="0"/>
                <w:i w:val="0"/>
                <w:sz w:val="22"/>
              </w:rPr>
              <w:t>Retrospective observational</w:t>
            </w:r>
          </w:p>
        </w:tc>
        <w:tc>
          <w:tcPr>
            <w:tcW w:type="dxa" w:w="1568"/>
          </w:tcPr>
          <w:p>
            <w:pPr>
              <w:spacing w:line="260" w:lineRule="exact" w:after="0"/>
            </w:pPr>
            <w:r/>
            <w:r>
              <w:rPr>
                <w:rFonts w:ascii="Times New Roman" w:hAnsi="Times New Roman"/>
                <w:b w:val="0"/>
                <w:i w:val="0"/>
                <w:sz w:val="22"/>
              </w:rPr>
              <w:t>7,096 operating lists, UK</w:t>
            </w:r>
          </w:p>
        </w:tc>
        <w:tc>
          <w:tcPr>
            <w:tcW w:type="dxa" w:w="1568"/>
          </w:tcPr>
          <w:p>
            <w:pPr>
              <w:spacing w:line="260" w:lineRule="exact" w:after="0"/>
            </w:pPr>
            <w:r/>
            <w:r>
              <w:rPr>
                <w:rFonts w:ascii="Times New Roman" w:hAnsi="Times New Roman"/>
                <w:b w:val="0"/>
                <w:i w:val="0"/>
                <w:sz w:val="22"/>
              </w:rPr>
              <w:t>First-case start time explains only 4–8% of variance in list finish time (R-squared 0.04–0.08)</w:t>
            </w:r>
          </w:p>
        </w:tc>
        <w:tc>
          <w:tcPr>
            <w:tcW w:type="dxa" w:w="1568"/>
          </w:tcPr>
          <w:p>
            <w:pPr>
              <w:spacing w:line="260" w:lineRule="exact" w:after="0"/>
            </w:pPr>
            <w:r/>
            <w:r>
              <w:rPr>
                <w:rFonts w:ascii="Times New Roman" w:hAnsi="Times New Roman"/>
                <w:b w:val="0"/>
                <w:i w:val="0"/>
                <w:sz w:val="22"/>
              </w:rPr>
              <w:t>Supports the FCOTS finding</w:t>
            </w:r>
          </w:p>
        </w:tc>
      </w:tr>
      <w:tr>
        <w:tc>
          <w:tcPr>
            <w:tcW w:type="dxa" w:w="1568"/>
          </w:tcPr>
          <w:p>
            <w:pPr>
              <w:spacing w:line="260" w:lineRule="exact" w:after="0"/>
            </w:pPr>
            <w:r/>
            <w:r>
              <w:rPr>
                <w:rFonts w:ascii="Times New Roman" w:hAnsi="Times New Roman"/>
                <w:b w:val="0"/>
                <w:i w:val="0"/>
                <w:sz w:val="22"/>
              </w:rPr>
              <w:t>24</w:t>
            </w:r>
          </w:p>
        </w:tc>
        <w:tc>
          <w:tcPr>
            <w:tcW w:type="dxa" w:w="1568"/>
          </w:tcPr>
          <w:p>
            <w:pPr>
              <w:spacing w:line="260" w:lineRule="exact" w:after="0"/>
            </w:pPr>
            <w:r/>
            <w:r>
              <w:rPr>
                <w:rFonts w:ascii="Times New Roman" w:hAnsi="Times New Roman"/>
                <w:b w:val="0"/>
                <w:i w:val="0"/>
                <w:sz w:val="22"/>
              </w:rPr>
              <w:t>Zhang (2023)</w:t>
            </w:r>
          </w:p>
        </w:tc>
        <w:tc>
          <w:tcPr>
            <w:tcW w:type="dxa" w:w="1568"/>
          </w:tcPr>
          <w:p>
            <w:pPr>
              <w:spacing w:line="260" w:lineRule="exact" w:after="0"/>
            </w:pPr>
            <w:r/>
            <w:r>
              <w:rPr>
                <w:rFonts w:ascii="Times New Roman" w:hAnsi="Times New Roman"/>
                <w:b w:val="0"/>
                <w:i w:val="0"/>
                <w:sz w:val="22"/>
              </w:rPr>
              <w:t>Editorial / methodological commentary</w:t>
            </w:r>
          </w:p>
        </w:tc>
        <w:tc>
          <w:tcPr>
            <w:tcW w:type="dxa" w:w="1568"/>
          </w:tcPr>
          <w:p>
            <w:pPr>
              <w:spacing w:line="260" w:lineRule="exact" w:after="0"/>
            </w:pPr>
            <w:r/>
            <w:r>
              <w:rPr>
                <w:rFonts w:ascii="Times New Roman" w:hAnsi="Times New Roman"/>
                <w:b w:val="0"/>
                <w:i w:val="0"/>
                <w:sz w:val="22"/>
              </w:rPr>
              <w:t>OR metrics in the UK</w:t>
            </w:r>
          </w:p>
        </w:tc>
        <w:tc>
          <w:tcPr>
            <w:tcW w:type="dxa" w:w="1568"/>
          </w:tcPr>
          <w:p>
            <w:pPr>
              <w:spacing w:line="260" w:lineRule="exact" w:after="0"/>
            </w:pPr>
            <w:r/>
            <w:r>
              <w:rPr>
                <w:rFonts w:ascii="Times New Roman" w:hAnsi="Times New Roman"/>
                <w:b w:val="0"/>
                <w:i w:val="0"/>
                <w:sz w:val="22"/>
              </w:rPr>
              <w:t>Valid room-level metrics are a prerequisite for quality improvement</w:t>
            </w:r>
          </w:p>
        </w:tc>
        <w:tc>
          <w:tcPr>
            <w:tcW w:type="dxa" w:w="1568"/>
          </w:tcPr>
          <w:p>
            <w:pPr>
              <w:spacing w:line="260" w:lineRule="exact" w:after="0"/>
            </w:pPr>
            <w:r/>
            <w:r>
              <w:rPr>
                <w:rFonts w:ascii="Times New Roman" w:hAnsi="Times New Roman"/>
                <w:b w:val="0"/>
                <w:i w:val="0"/>
                <w:sz w:val="22"/>
              </w:rPr>
              <w:t>Supports room-level monitoring recommendation</w:t>
            </w:r>
          </w:p>
        </w:tc>
      </w:tr>
      <w:tr>
        <w:tc>
          <w:tcPr>
            <w:tcW w:type="dxa" w:w="1568"/>
          </w:tcPr>
          <w:p>
            <w:pPr>
              <w:spacing w:line="260" w:lineRule="exact" w:after="0"/>
            </w:pPr>
            <w:r/>
            <w:r>
              <w:rPr>
                <w:rFonts w:ascii="Times New Roman" w:hAnsi="Times New Roman"/>
                <w:b w:val="0"/>
                <w:i w:val="0"/>
                <w:sz w:val="22"/>
              </w:rPr>
              <w:t>25</w:t>
            </w:r>
          </w:p>
        </w:tc>
        <w:tc>
          <w:tcPr>
            <w:tcW w:type="dxa" w:w="1568"/>
          </w:tcPr>
          <w:p>
            <w:pPr>
              <w:spacing w:line="260" w:lineRule="exact" w:after="0"/>
            </w:pPr>
            <w:r/>
            <w:r>
              <w:rPr>
                <w:rFonts w:ascii="Times New Roman" w:hAnsi="Times New Roman"/>
                <w:b w:val="0"/>
                <w:i w:val="0"/>
                <w:sz w:val="22"/>
              </w:rPr>
              <w:t>Dexter (2009)</w:t>
            </w:r>
          </w:p>
        </w:tc>
        <w:tc>
          <w:tcPr>
            <w:tcW w:type="dxa" w:w="1568"/>
          </w:tcPr>
          <w:p>
            <w:pPr>
              <w:spacing w:line="260" w:lineRule="exact" w:after="0"/>
            </w:pPr>
            <w:r/>
            <w:r>
              <w:rPr>
                <w:rFonts w:ascii="Times New Roman" w:hAnsi="Times New Roman"/>
                <w:b w:val="0"/>
                <w:i w:val="0"/>
                <w:sz w:val="22"/>
              </w:rPr>
              <w:t>Decision-analytic model</w:t>
            </w:r>
          </w:p>
        </w:tc>
        <w:tc>
          <w:tcPr>
            <w:tcW w:type="dxa" w:w="1568"/>
          </w:tcPr>
          <w:p>
            <w:pPr>
              <w:spacing w:line="260" w:lineRule="exact" w:after="0"/>
            </w:pPr>
            <w:r/>
            <w:r>
              <w:rPr>
                <w:rFonts w:ascii="Times New Roman" w:hAnsi="Times New Roman"/>
                <w:b w:val="0"/>
                <w:i w:val="0"/>
                <w:sz w:val="22"/>
              </w:rPr>
              <w:t>Marginal cost of tardiness</w:t>
            </w:r>
          </w:p>
        </w:tc>
        <w:tc>
          <w:tcPr>
            <w:tcW w:type="dxa" w:w="1568"/>
          </w:tcPr>
          <w:p>
            <w:pPr>
              <w:spacing w:line="260" w:lineRule="exact" w:after="0"/>
            </w:pPr>
            <w:r/>
            <w:r>
              <w:rPr>
                <w:rFonts w:ascii="Times New Roman" w:hAnsi="Times New Roman"/>
                <w:b w:val="0"/>
                <w:i w:val="0"/>
                <w:sz w:val="22"/>
              </w:rPr>
              <w:t>Each minute of first-case tardiness carries a marginal cost, but the effect is small relative to case-mix variation</w:t>
            </w:r>
          </w:p>
        </w:tc>
        <w:tc>
          <w:tcPr>
            <w:tcW w:type="dxa" w:w="1568"/>
          </w:tcPr>
          <w:p>
            <w:pPr>
              <w:spacing w:line="260" w:lineRule="exact" w:after="0"/>
            </w:pPr>
            <w:r/>
            <w:r>
              <w:rPr>
                <w:rFonts w:ascii="Times New Roman" w:hAnsi="Times New Roman"/>
                <w:b w:val="0"/>
                <w:i w:val="0"/>
                <w:sz w:val="22"/>
              </w:rPr>
              <w:t>Contextualises FCOTS discussion</w:t>
            </w:r>
          </w:p>
        </w:tc>
      </w:tr>
      <w:tr>
        <w:tc>
          <w:tcPr>
            <w:tcW w:type="dxa" w:w="1568"/>
          </w:tcPr>
          <w:p>
            <w:pPr>
              <w:spacing w:line="260" w:lineRule="exact" w:after="0"/>
            </w:pPr>
            <w:r/>
            <w:r>
              <w:rPr>
                <w:rFonts w:ascii="Times New Roman" w:hAnsi="Times New Roman"/>
                <w:b w:val="0"/>
                <w:i w:val="0"/>
                <w:sz w:val="22"/>
              </w:rPr>
              <w:t>26</w:t>
            </w:r>
          </w:p>
        </w:tc>
        <w:tc>
          <w:tcPr>
            <w:tcW w:type="dxa" w:w="1568"/>
          </w:tcPr>
          <w:p>
            <w:pPr>
              <w:spacing w:line="260" w:lineRule="exact" w:after="0"/>
            </w:pPr>
            <w:r/>
            <w:r>
              <w:rPr>
                <w:rFonts w:ascii="Times New Roman" w:hAnsi="Times New Roman"/>
                <w:b w:val="0"/>
                <w:i w:val="0"/>
                <w:sz w:val="22"/>
              </w:rPr>
              <w:t>Wachtel (2009)</w:t>
            </w:r>
          </w:p>
        </w:tc>
        <w:tc>
          <w:tcPr>
            <w:tcW w:type="dxa" w:w="1568"/>
          </w:tcPr>
          <w:p>
            <w:pPr>
              <w:spacing w:line="260" w:lineRule="exact" w:after="0"/>
            </w:pPr>
            <w:r/>
            <w:r>
              <w:rPr>
                <w:rFonts w:ascii="Times New Roman" w:hAnsi="Times New Roman"/>
                <w:b w:val="0"/>
                <w:i w:val="0"/>
                <w:sz w:val="22"/>
              </w:rPr>
              <w:t>Retrospective observational</w:t>
            </w:r>
          </w:p>
        </w:tc>
        <w:tc>
          <w:tcPr>
            <w:tcW w:type="dxa" w:w="1568"/>
          </w:tcPr>
          <w:p>
            <w:pPr>
              <w:spacing w:line="260" w:lineRule="exact" w:after="0"/>
            </w:pPr>
            <w:r/>
            <w:r>
              <w:rPr>
                <w:rFonts w:ascii="Times New Roman" w:hAnsi="Times New Roman"/>
                <w:b w:val="0"/>
                <w:i w:val="0"/>
                <w:sz w:val="22"/>
              </w:rPr>
              <w:t>Large US OR dataset</w:t>
            </w:r>
          </w:p>
        </w:tc>
        <w:tc>
          <w:tcPr>
            <w:tcW w:type="dxa" w:w="1568"/>
          </w:tcPr>
          <w:p>
            <w:pPr>
              <w:spacing w:line="260" w:lineRule="exact" w:after="0"/>
            </w:pPr>
            <w:r/>
            <w:r>
              <w:rPr>
                <w:rFonts w:ascii="Times New Roman" w:hAnsi="Times New Roman"/>
                <w:b w:val="0"/>
                <w:i w:val="0"/>
                <w:sz w:val="22"/>
              </w:rPr>
              <w:t>Tardiness accumulates through the day as duration uncertainty compounds across sequential cases</w:t>
            </w:r>
          </w:p>
        </w:tc>
        <w:tc>
          <w:tcPr>
            <w:tcW w:type="dxa" w:w="1568"/>
          </w:tcPr>
          <w:p>
            <w:pPr>
              <w:spacing w:line="260" w:lineRule="exact" w:after="0"/>
            </w:pPr>
            <w:r/>
            <w:r>
              <w:rPr>
                <w:rFonts w:ascii="Times New Roman" w:hAnsi="Times New Roman"/>
                <w:b w:val="0"/>
                <w:i w:val="0"/>
                <w:sz w:val="22"/>
              </w:rPr>
              <w:t>Supports planning-accuracy discussion</w:t>
            </w:r>
          </w:p>
        </w:tc>
      </w:tr>
      <w:tr>
        <w:tc>
          <w:tcPr>
            <w:tcW w:type="dxa" w:w="1568"/>
          </w:tcPr>
          <w:p>
            <w:pPr>
              <w:spacing w:line="260" w:lineRule="exact" w:after="0"/>
            </w:pPr>
            <w:r/>
            <w:r>
              <w:rPr>
                <w:rFonts w:ascii="Times New Roman" w:hAnsi="Times New Roman"/>
                <w:b w:val="0"/>
                <w:i w:val="0"/>
                <w:sz w:val="22"/>
              </w:rPr>
              <w:t>27</w:t>
            </w:r>
          </w:p>
        </w:tc>
        <w:tc>
          <w:tcPr>
            <w:tcW w:type="dxa" w:w="1568"/>
          </w:tcPr>
          <w:p>
            <w:pPr>
              <w:spacing w:line="260" w:lineRule="exact" w:after="0"/>
            </w:pPr>
            <w:r/>
            <w:r>
              <w:rPr>
                <w:rFonts w:ascii="Times New Roman" w:hAnsi="Times New Roman"/>
                <w:b w:val="0"/>
                <w:i w:val="0"/>
                <w:sz w:val="22"/>
              </w:rPr>
              <w:t>Fugener (2017)</w:t>
            </w:r>
          </w:p>
        </w:tc>
        <w:tc>
          <w:tcPr>
            <w:tcW w:type="dxa" w:w="1568"/>
          </w:tcPr>
          <w:p>
            <w:pPr>
              <w:spacing w:line="260" w:lineRule="exact" w:after="0"/>
            </w:pPr>
            <w:r/>
            <w:r>
              <w:rPr>
                <w:rFonts w:ascii="Times New Roman" w:hAnsi="Times New Roman"/>
                <w:b w:val="0"/>
                <w:i w:val="0"/>
                <w:sz w:val="22"/>
              </w:rPr>
              <w:t>Behavioural experiment and retrospective analysis</w:t>
            </w:r>
          </w:p>
        </w:tc>
        <w:tc>
          <w:tcPr>
            <w:tcW w:type="dxa" w:w="1568"/>
          </w:tcPr>
          <w:p>
            <w:pPr>
              <w:spacing w:line="260" w:lineRule="exact" w:after="0"/>
            </w:pPr>
            <w:r/>
            <w:r>
              <w:rPr>
                <w:rFonts w:ascii="Times New Roman" w:hAnsi="Times New Roman"/>
                <w:b w:val="0"/>
                <w:i w:val="0"/>
                <w:sz w:val="22"/>
              </w:rPr>
              <w:t>German hospital OR data</w:t>
            </w:r>
          </w:p>
        </w:tc>
        <w:tc>
          <w:tcPr>
            <w:tcW w:type="dxa" w:w="1568"/>
          </w:tcPr>
          <w:p>
            <w:pPr>
              <w:spacing w:line="260" w:lineRule="exact" w:after="0"/>
            </w:pPr>
            <w:r/>
            <w:r>
              <w:rPr>
                <w:rFonts w:ascii="Times New Roman" w:hAnsi="Times New Roman"/>
                <w:b w:val="0"/>
                <w:i w:val="0"/>
                <w:sz w:val="22"/>
              </w:rPr>
              <w:t>Surgeons systematically underestimate durations for complex cases; bias compounds across a list</w:t>
            </w:r>
          </w:p>
        </w:tc>
        <w:tc>
          <w:tcPr>
            <w:tcW w:type="dxa" w:w="1568"/>
          </w:tcPr>
          <w:p>
            <w:pPr>
              <w:spacing w:line="260" w:lineRule="exact" w:after="0"/>
            </w:pPr>
            <w:r/>
            <w:r>
              <w:rPr>
                <w:rFonts w:ascii="Times New Roman" w:hAnsi="Times New Roman"/>
                <w:b w:val="0"/>
                <w:i w:val="0"/>
                <w:sz w:val="22"/>
              </w:rPr>
              <w:t>Supports planning-accuracy discussion</w:t>
            </w:r>
          </w:p>
        </w:tc>
      </w:tr>
    </w:tbl>
    <w:p>
      <w:pPr>
        <w:spacing w:line="120" w:lineRule="exact"/>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