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(duration overruns, shift displacement, urgent-elective interaction, and first-case punctuality)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Intermediate findings were reviewed with the clinical team and used to refine variable definitions and exclusions. The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before="240" w:after="80" w:line="280" w:lineRule="exact"/>
        <w:jc w:val="left"/>
      </w:pPr>
      <w:r>
        <w:rPr>
          <w:rFonts w:ascii="Times New Roman" w:hAnsi="Times New Roman"/>
          <w:b/>
          <w:sz w:val="22"/>
        </w:rPr>
        <w:t>Table 1A.</w:t>
      </w:r>
      <w:r>
        <w:rPr>
          <w:rFonts w:ascii="Times New Roman" w:hAnsi="Times New Roman"/>
          <w:sz w:val="22"/>
        </w:rPr>
        <w:t xml:space="preserve"> Overtime by weekday.</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171b5"/>
          </w:tcPr>
          <w:p>
            <w:pPr>
              <w:jc w:val="center"/>
            </w:pPr>
            <w:r/>
            <w:r>
              <w:rPr>
                <w:rFonts w:ascii="Times New Roman" w:hAnsi="Times New Roman"/>
                <w:b/>
                <w:color w:val="FFFFFF"/>
                <w:sz w:val="20"/>
              </w:rPr>
              <w:t>Day</w:t>
            </w:r>
          </w:p>
        </w:tc>
        <w:tc>
          <w:tcPr>
            <w:tcW w:type="dxa" w:w="1881"/>
            <w:shd w:val="clear" w:color="auto" w:fill="2171b5"/>
          </w:tcPr>
          <w:p>
            <w:pPr>
              <w:jc w:val="center"/>
            </w:pPr>
            <w:r/>
            <w:r>
              <w:rPr>
                <w:rFonts w:ascii="Times New Roman" w:hAnsi="Times New Roman"/>
                <w:b/>
                <w:color w:val="FFFFFF"/>
                <w:sz w:val="20"/>
              </w:rPr>
              <w:t>n cases</w:t>
            </w:r>
          </w:p>
        </w:tc>
        <w:tc>
          <w:tcPr>
            <w:tcW w:type="dxa" w:w="1881"/>
            <w:shd w:val="clear" w:color="auto" w:fill="2171b5"/>
          </w:tcPr>
          <w:p>
            <w:pPr>
              <w:jc w:val="center"/>
            </w:pPr>
            <w:r/>
            <w:r>
              <w:rPr>
                <w:rFonts w:ascii="Times New Roman" w:hAnsi="Times New Roman"/>
                <w:b/>
                <w:color w:val="FFFFFF"/>
                <w:sz w:val="20"/>
              </w:rPr>
              <w:t>n overtime</w:t>
            </w:r>
          </w:p>
        </w:tc>
        <w:tc>
          <w:tcPr>
            <w:tcW w:type="dxa" w:w="1881"/>
            <w:shd w:val="clear" w:color="auto" w:fill="2171b5"/>
          </w:tcPr>
          <w:p>
            <w:pPr>
              <w:jc w:val="center"/>
            </w:pPr>
            <w:r/>
            <w:r>
              <w:rPr>
                <w:rFonts w:ascii="Times New Roman" w:hAnsi="Times New Roman"/>
                <w:b/>
                <w:color w:val="FFFFFF"/>
                <w:sz w:val="20"/>
              </w:rPr>
              <w:t>OT rate (%)</w:t>
            </w:r>
          </w:p>
        </w:tc>
        <w:tc>
          <w:tcPr>
            <w:tcW w:type="dxa" w:w="1881"/>
            <w:shd w:val="clear" w:color="auto" w:fill="2171b5"/>
          </w:tcPr>
          <w:p>
            <w:pPr>
              <w:jc w:val="center"/>
            </w:pPr>
            <w:r/>
            <w:r>
              <w:rPr>
                <w:rFonts w:ascii="Times New Roman" w:hAnsi="Times New Roman"/>
                <w:b/>
                <w:color w:val="FFFFFF"/>
                <w:sz w:val="20"/>
              </w:rPr>
              <w:t>Mean OT (min)</w:t>
            </w:r>
          </w:p>
        </w:tc>
      </w:tr>
      <w:tr>
        <w:tc>
          <w:tcPr>
            <w:tcW w:type="dxa" w:w="1881"/>
          </w:tcPr>
          <w:p>
            <w:pPr>
              <w:jc w:val="center"/>
            </w:pPr>
            <w:r/>
            <w:r>
              <w:rPr>
                <w:rFonts w:ascii="Times New Roman" w:hAnsi="Times New Roman"/>
                <w:b w:val="0"/>
                <w:sz w:val="20"/>
              </w:rPr>
              <w:t>Monday</w:t>
            </w:r>
          </w:p>
        </w:tc>
        <w:tc>
          <w:tcPr>
            <w:tcW w:type="dxa" w:w="1881"/>
          </w:tcPr>
          <w:p>
            <w:pPr>
              <w:jc w:val="center"/>
            </w:pPr>
            <w:r/>
            <w:r>
              <w:rPr>
                <w:rFonts w:ascii="Times New Roman" w:hAnsi="Times New Roman"/>
                <w:b w:val="0"/>
                <w:sz w:val="20"/>
              </w:rPr>
              <w:t>14,232</w:t>
            </w:r>
          </w:p>
        </w:tc>
        <w:tc>
          <w:tcPr>
            <w:tcW w:type="dxa" w:w="1881"/>
          </w:tcPr>
          <w:p>
            <w:pPr>
              <w:jc w:val="center"/>
            </w:pPr>
            <w:r/>
            <w:r>
              <w:rPr>
                <w:rFonts w:ascii="Times New Roman" w:hAnsi="Times New Roman"/>
                <w:b w:val="0"/>
                <w:sz w:val="20"/>
              </w:rPr>
              <w:t>1,395</w:t>
            </w:r>
          </w:p>
        </w:tc>
        <w:tc>
          <w:tcPr>
            <w:tcW w:type="dxa" w:w="1881"/>
          </w:tcPr>
          <w:p>
            <w:pPr>
              <w:jc w:val="center"/>
            </w:pPr>
            <w:r/>
            <w:r>
              <w:rPr>
                <w:rFonts w:ascii="Times New Roman" w:hAnsi="Times New Roman"/>
                <w:b w:val="0"/>
                <w:sz w:val="20"/>
              </w:rPr>
              <w:t>9.8</w:t>
            </w:r>
          </w:p>
        </w:tc>
        <w:tc>
          <w:tcPr>
            <w:tcW w:type="dxa" w:w="1881"/>
          </w:tcPr>
          <w:p>
            <w:pPr>
              <w:jc w:val="center"/>
            </w:pPr>
            <w:r/>
            <w:r>
              <w:rPr>
                <w:rFonts w:ascii="Times New Roman" w:hAnsi="Times New Roman"/>
                <w:b w:val="0"/>
                <w:sz w:val="20"/>
              </w:rPr>
              <w:t>58.5</w:t>
            </w:r>
          </w:p>
        </w:tc>
      </w:tr>
      <w:tr>
        <w:tc>
          <w:tcPr>
            <w:tcW w:type="dxa" w:w="1881"/>
          </w:tcPr>
          <w:p>
            <w:pPr>
              <w:jc w:val="center"/>
            </w:pPr>
            <w:r/>
            <w:r>
              <w:rPr>
                <w:rFonts w:ascii="Times New Roman" w:hAnsi="Times New Roman"/>
                <w:b w:val="0"/>
                <w:sz w:val="20"/>
              </w:rPr>
              <w:t>Tuesday</w:t>
            </w:r>
          </w:p>
        </w:tc>
        <w:tc>
          <w:tcPr>
            <w:tcW w:type="dxa" w:w="1881"/>
          </w:tcPr>
          <w:p>
            <w:pPr>
              <w:jc w:val="center"/>
            </w:pPr>
            <w:r/>
            <w:r>
              <w:rPr>
                <w:rFonts w:ascii="Times New Roman" w:hAnsi="Times New Roman"/>
                <w:b w:val="0"/>
                <w:sz w:val="20"/>
              </w:rPr>
              <w:t>14,750</w:t>
            </w:r>
          </w:p>
        </w:tc>
        <w:tc>
          <w:tcPr>
            <w:tcW w:type="dxa" w:w="1881"/>
          </w:tcPr>
          <w:p>
            <w:pPr>
              <w:jc w:val="center"/>
            </w:pPr>
            <w:r/>
            <w:r>
              <w:rPr>
                <w:rFonts w:ascii="Times New Roman" w:hAnsi="Times New Roman"/>
                <w:b w:val="0"/>
                <w:sz w:val="20"/>
              </w:rPr>
              <w:t>1,416</w:t>
            </w:r>
          </w:p>
        </w:tc>
        <w:tc>
          <w:tcPr>
            <w:tcW w:type="dxa" w:w="1881"/>
          </w:tcPr>
          <w:p>
            <w:pPr>
              <w:jc w:val="center"/>
            </w:pPr>
            <w:r/>
            <w:r>
              <w:rPr>
                <w:rFonts w:ascii="Times New Roman" w:hAnsi="Times New Roman"/>
                <w:b w:val="0"/>
                <w:sz w:val="20"/>
              </w:rPr>
              <w:t>9.6</w:t>
            </w:r>
          </w:p>
        </w:tc>
        <w:tc>
          <w:tcPr>
            <w:tcW w:type="dxa" w:w="1881"/>
          </w:tcPr>
          <w:p>
            <w:pPr>
              <w:jc w:val="center"/>
            </w:pPr>
            <w:r/>
            <w:r>
              <w:rPr>
                <w:rFonts w:ascii="Times New Roman" w:hAnsi="Times New Roman"/>
                <w:b w:val="0"/>
                <w:sz w:val="20"/>
              </w:rPr>
              <w:t>60.1</w:t>
            </w:r>
          </w:p>
        </w:tc>
      </w:tr>
      <w:tr>
        <w:tc>
          <w:tcPr>
            <w:tcW w:type="dxa" w:w="1881"/>
          </w:tcPr>
          <w:p>
            <w:pPr>
              <w:jc w:val="center"/>
            </w:pPr>
            <w:r/>
            <w:r>
              <w:rPr>
                <w:rFonts w:ascii="Times New Roman" w:hAnsi="Times New Roman"/>
                <w:b w:val="0"/>
                <w:sz w:val="20"/>
              </w:rPr>
              <w:t>Wednesday</w:t>
            </w:r>
          </w:p>
        </w:tc>
        <w:tc>
          <w:tcPr>
            <w:tcW w:type="dxa" w:w="1881"/>
          </w:tcPr>
          <w:p>
            <w:pPr>
              <w:jc w:val="center"/>
            </w:pPr>
            <w:r/>
            <w:r>
              <w:rPr>
                <w:rFonts w:ascii="Times New Roman" w:hAnsi="Times New Roman"/>
                <w:b w:val="0"/>
                <w:sz w:val="20"/>
              </w:rPr>
              <w:t>15,814</w:t>
            </w:r>
          </w:p>
        </w:tc>
        <w:tc>
          <w:tcPr>
            <w:tcW w:type="dxa" w:w="1881"/>
          </w:tcPr>
          <w:p>
            <w:pPr>
              <w:jc w:val="center"/>
            </w:pPr>
            <w:r/>
            <w:r>
              <w:rPr>
                <w:rFonts w:ascii="Times New Roman" w:hAnsi="Times New Roman"/>
                <w:b w:val="0"/>
                <w:sz w:val="20"/>
              </w:rPr>
              <w:t>1,502</w:t>
            </w:r>
          </w:p>
        </w:tc>
        <w:tc>
          <w:tcPr>
            <w:tcW w:type="dxa" w:w="1881"/>
          </w:tcPr>
          <w:p>
            <w:pPr>
              <w:jc w:val="center"/>
            </w:pPr>
            <w:r/>
            <w:r>
              <w:rPr>
                <w:rFonts w:ascii="Times New Roman" w:hAnsi="Times New Roman"/>
                <w:b w:val="0"/>
                <w:sz w:val="20"/>
              </w:rPr>
              <w:t>9.5</w:t>
            </w:r>
          </w:p>
        </w:tc>
        <w:tc>
          <w:tcPr>
            <w:tcW w:type="dxa" w:w="1881"/>
          </w:tcPr>
          <w:p>
            <w:pPr>
              <w:jc w:val="center"/>
            </w:pPr>
            <w:r/>
            <w:r>
              <w:rPr>
                <w:rFonts w:ascii="Times New Roman" w:hAnsi="Times New Roman"/>
                <w:b w:val="0"/>
                <w:sz w:val="20"/>
              </w:rPr>
              <w:t>59.7</w:t>
            </w:r>
          </w:p>
        </w:tc>
      </w:tr>
      <w:tr>
        <w:tc>
          <w:tcPr>
            <w:tcW w:type="dxa" w:w="1881"/>
          </w:tcPr>
          <w:p>
            <w:pPr>
              <w:jc w:val="center"/>
            </w:pPr>
            <w:r/>
            <w:r>
              <w:rPr>
                <w:rFonts w:ascii="Times New Roman" w:hAnsi="Times New Roman"/>
                <w:b w:val="0"/>
                <w:sz w:val="20"/>
              </w:rPr>
              <w:t>Thursday</w:t>
            </w:r>
          </w:p>
        </w:tc>
        <w:tc>
          <w:tcPr>
            <w:tcW w:type="dxa" w:w="1881"/>
          </w:tcPr>
          <w:p>
            <w:pPr>
              <w:jc w:val="center"/>
            </w:pPr>
            <w:r/>
            <w:r>
              <w:rPr>
                <w:rFonts w:ascii="Times New Roman" w:hAnsi="Times New Roman"/>
                <w:b w:val="0"/>
                <w:sz w:val="20"/>
              </w:rPr>
              <w:t>15,844</w:t>
            </w:r>
          </w:p>
        </w:tc>
        <w:tc>
          <w:tcPr>
            <w:tcW w:type="dxa" w:w="1881"/>
          </w:tcPr>
          <w:p>
            <w:pPr>
              <w:jc w:val="center"/>
            </w:pPr>
            <w:r/>
            <w:r>
              <w:rPr>
                <w:rFonts w:ascii="Times New Roman" w:hAnsi="Times New Roman"/>
                <w:b w:val="0"/>
                <w:sz w:val="20"/>
              </w:rPr>
              <w:t>1,394</w:t>
            </w:r>
          </w:p>
        </w:tc>
        <w:tc>
          <w:tcPr>
            <w:tcW w:type="dxa" w:w="1881"/>
          </w:tcPr>
          <w:p>
            <w:pPr>
              <w:jc w:val="center"/>
            </w:pPr>
            <w:r/>
            <w:r>
              <w:rPr>
                <w:rFonts w:ascii="Times New Roman" w:hAnsi="Times New Roman"/>
                <w:b w:val="0"/>
                <w:sz w:val="20"/>
              </w:rPr>
              <w:t>8.8</w:t>
            </w:r>
          </w:p>
        </w:tc>
        <w:tc>
          <w:tcPr>
            <w:tcW w:type="dxa" w:w="1881"/>
          </w:tcPr>
          <w:p>
            <w:pPr>
              <w:jc w:val="center"/>
            </w:pPr>
            <w:r/>
            <w:r>
              <w:rPr>
                <w:rFonts w:ascii="Times New Roman" w:hAnsi="Times New Roman"/>
                <w:b w:val="0"/>
                <w:sz w:val="20"/>
              </w:rPr>
              <w:t>60.5</w:t>
            </w:r>
          </w:p>
        </w:tc>
      </w:tr>
      <w:tr>
        <w:tc>
          <w:tcPr>
            <w:tcW w:type="dxa" w:w="1881"/>
          </w:tcPr>
          <w:p>
            <w:pPr>
              <w:jc w:val="center"/>
            </w:pPr>
            <w:r/>
            <w:r>
              <w:rPr>
                <w:rFonts w:ascii="Times New Roman" w:hAnsi="Times New Roman"/>
                <w:b w:val="0"/>
                <w:sz w:val="20"/>
              </w:rPr>
              <w:t>Friday</w:t>
            </w:r>
          </w:p>
        </w:tc>
        <w:tc>
          <w:tcPr>
            <w:tcW w:type="dxa" w:w="1881"/>
          </w:tcPr>
          <w:p>
            <w:pPr>
              <w:jc w:val="center"/>
            </w:pPr>
            <w:r/>
            <w:r>
              <w:rPr>
                <w:rFonts w:ascii="Times New Roman" w:hAnsi="Times New Roman"/>
                <w:b w:val="0"/>
                <w:sz w:val="20"/>
              </w:rPr>
              <w:t>15,615</w:t>
            </w:r>
          </w:p>
        </w:tc>
        <w:tc>
          <w:tcPr>
            <w:tcW w:type="dxa" w:w="1881"/>
          </w:tcPr>
          <w:p>
            <w:pPr>
              <w:jc w:val="center"/>
            </w:pPr>
            <w:r/>
            <w:r>
              <w:rPr>
                <w:rFonts w:ascii="Times New Roman" w:hAnsi="Times New Roman"/>
                <w:b w:val="0"/>
                <w:sz w:val="20"/>
              </w:rPr>
              <w:t>1,546</w:t>
            </w:r>
          </w:p>
        </w:tc>
        <w:tc>
          <w:tcPr>
            <w:tcW w:type="dxa" w:w="1881"/>
          </w:tcPr>
          <w:p>
            <w:pPr>
              <w:jc w:val="center"/>
            </w:pPr>
            <w:r/>
            <w:r>
              <w:rPr>
                <w:rFonts w:ascii="Times New Roman" w:hAnsi="Times New Roman"/>
                <w:b w:val="0"/>
                <w:sz w:val="20"/>
              </w:rPr>
              <w:t>9.9</w:t>
            </w:r>
          </w:p>
        </w:tc>
        <w:tc>
          <w:tcPr>
            <w:tcW w:type="dxa" w:w="1881"/>
          </w:tcPr>
          <w:p>
            <w:pPr>
              <w:jc w:val="center"/>
            </w:pPr>
            <w:r/>
            <w:r>
              <w:rPr>
                <w:rFonts w:ascii="Times New Roman" w:hAnsi="Times New Roman"/>
                <w:b w:val="0"/>
                <w:sz w:val="20"/>
              </w:rPr>
              <w:t>62.4</w:t>
            </w:r>
          </w:p>
        </w:tc>
      </w:tr>
      <w:tr>
        <w:tc>
          <w:tcPr>
            <w:tcW w:type="dxa" w:w="1881"/>
          </w:tcPr>
          <w:p>
            <w:pPr>
              <w:jc w:val="center"/>
            </w:pPr>
            <w:r/>
            <w:r>
              <w:rPr>
                <w:rFonts w:ascii="Times New Roman" w:hAnsi="Times New Roman"/>
                <w:b w:val="0"/>
                <w:sz w:val="20"/>
              </w:rPr>
              <w:t>Saturday</w:t>
            </w:r>
          </w:p>
        </w:tc>
        <w:tc>
          <w:tcPr>
            <w:tcW w:type="dxa" w:w="1881"/>
          </w:tcPr>
          <w:p>
            <w:pPr>
              <w:jc w:val="center"/>
            </w:pPr>
            <w:r/>
            <w:r>
              <w:rPr>
                <w:rFonts w:ascii="Times New Roman" w:hAnsi="Times New Roman"/>
                <w:b w:val="0"/>
                <w:sz w:val="20"/>
              </w:rPr>
              <w:t>1,654</w:t>
            </w:r>
          </w:p>
        </w:tc>
        <w:tc>
          <w:tcPr>
            <w:tcW w:type="dxa" w:w="1881"/>
          </w:tcPr>
          <w:p>
            <w:pPr>
              <w:jc w:val="center"/>
            </w:pPr>
            <w:r/>
            <w:r>
              <w:rPr>
                <w:rFonts w:ascii="Times New Roman" w:hAnsi="Times New Roman"/>
                <w:b w:val="0"/>
                <w:sz w:val="20"/>
              </w:rPr>
              <w:t>278</w:t>
            </w:r>
          </w:p>
        </w:tc>
        <w:tc>
          <w:tcPr>
            <w:tcW w:type="dxa" w:w="1881"/>
          </w:tcPr>
          <w:p>
            <w:pPr>
              <w:jc w:val="center"/>
            </w:pPr>
            <w:r/>
            <w:r>
              <w:rPr>
                <w:rFonts w:ascii="Times New Roman" w:hAnsi="Times New Roman"/>
                <w:b w:val="0"/>
                <w:sz w:val="20"/>
              </w:rPr>
              <w:t>16.8</w:t>
            </w:r>
          </w:p>
        </w:tc>
        <w:tc>
          <w:tcPr>
            <w:tcW w:type="dxa" w:w="1881"/>
          </w:tcPr>
          <w:p>
            <w:pPr>
              <w:jc w:val="center"/>
            </w:pPr>
            <w:r/>
            <w:r>
              <w:rPr>
                <w:rFonts w:ascii="Times New Roman" w:hAnsi="Times New Roman"/>
                <w:b w:val="0"/>
                <w:sz w:val="20"/>
              </w:rPr>
              <w:t>63.4</w:t>
            </w:r>
          </w:p>
        </w:tc>
      </w:tr>
      <w:tr>
        <w:tc>
          <w:tcPr>
            <w:tcW w:type="dxa" w:w="1881"/>
          </w:tcPr>
          <w:p>
            <w:pPr>
              <w:jc w:val="center"/>
            </w:pPr>
            <w:r/>
            <w:r>
              <w:rPr>
                <w:rFonts w:ascii="Times New Roman" w:hAnsi="Times New Roman"/>
                <w:b w:val="0"/>
                <w:sz w:val="20"/>
              </w:rPr>
              <w:t>Sunday</w:t>
            </w:r>
          </w:p>
        </w:tc>
        <w:tc>
          <w:tcPr>
            <w:tcW w:type="dxa" w:w="1881"/>
          </w:tcPr>
          <w:p>
            <w:pPr>
              <w:jc w:val="center"/>
            </w:pPr>
            <w:r/>
            <w:r>
              <w:rPr>
                <w:rFonts w:ascii="Times New Roman" w:hAnsi="Times New Roman"/>
                <w:b w:val="0"/>
                <w:sz w:val="20"/>
              </w:rPr>
              <w:t>1,443</w:t>
            </w:r>
          </w:p>
        </w:tc>
        <w:tc>
          <w:tcPr>
            <w:tcW w:type="dxa" w:w="1881"/>
          </w:tcPr>
          <w:p>
            <w:pPr>
              <w:jc w:val="center"/>
            </w:pPr>
            <w:r/>
            <w:r>
              <w:rPr>
                <w:rFonts w:ascii="Times New Roman" w:hAnsi="Times New Roman"/>
                <w:b w:val="0"/>
                <w:sz w:val="20"/>
              </w:rPr>
              <w:t>224</w:t>
            </w:r>
          </w:p>
        </w:tc>
        <w:tc>
          <w:tcPr>
            <w:tcW w:type="dxa" w:w="1881"/>
          </w:tcPr>
          <w:p>
            <w:pPr>
              <w:jc w:val="center"/>
            </w:pPr>
            <w:r/>
            <w:r>
              <w:rPr>
                <w:rFonts w:ascii="Times New Roman" w:hAnsi="Times New Roman"/>
                <w:b w:val="0"/>
                <w:sz w:val="20"/>
              </w:rPr>
              <w:t>15.5</w:t>
            </w:r>
          </w:p>
        </w:tc>
        <w:tc>
          <w:tcPr>
            <w:tcW w:type="dxa" w:w="1881"/>
          </w:tcPr>
          <w:p>
            <w:pPr>
              <w:jc w:val="center"/>
            </w:pPr>
            <w:r/>
            <w:r>
              <w:rPr>
                <w:rFonts w:ascii="Times New Roman" w:hAnsi="Times New Roman"/>
                <w:b w:val="0"/>
                <w:sz w:val="20"/>
              </w:rPr>
              <w:t>59.1</w:t>
            </w:r>
          </w:p>
        </w:tc>
      </w:tr>
      <w:tr>
        <w:tc>
          <w:tcPr>
            <w:tcW w:type="dxa" w:w="1881"/>
            <w:shd w:val="clear" w:color="auto" w:fill="DEEBF7"/>
          </w:tcPr>
          <w:p>
            <w:pPr>
              <w:jc w:val="center"/>
            </w:pPr>
            <w:r/>
            <w:r>
              <w:rPr>
                <w:rFonts w:ascii="Times New Roman" w:hAnsi="Times New Roman"/>
                <w:b/>
                <w:sz w:val="20"/>
              </w:rPr>
              <w:t>Total</w:t>
            </w:r>
          </w:p>
        </w:tc>
        <w:tc>
          <w:tcPr>
            <w:tcW w:type="dxa" w:w="1881"/>
            <w:shd w:val="clear" w:color="auto" w:fill="DEEBF7"/>
          </w:tcPr>
          <w:p>
            <w:pPr>
              <w:jc w:val="center"/>
            </w:pPr>
            <w:r/>
            <w:r>
              <w:rPr>
                <w:rFonts w:ascii="Times New Roman" w:hAnsi="Times New Roman"/>
                <w:b/>
                <w:sz w:val="20"/>
              </w:rPr>
              <w:t>79,352</w:t>
            </w:r>
          </w:p>
        </w:tc>
        <w:tc>
          <w:tcPr>
            <w:tcW w:type="dxa" w:w="1881"/>
            <w:shd w:val="clear" w:color="auto" w:fill="DEEBF7"/>
          </w:tcPr>
          <w:p>
            <w:pPr>
              <w:jc w:val="center"/>
            </w:pPr>
            <w:r/>
            <w:r>
              <w:rPr>
                <w:rFonts w:ascii="Times New Roman" w:hAnsi="Times New Roman"/>
                <w:b/>
                <w:sz w:val="20"/>
              </w:rPr>
              <w:t>7,729</w:t>
            </w:r>
          </w:p>
        </w:tc>
        <w:tc>
          <w:tcPr>
            <w:tcW w:type="dxa" w:w="1881"/>
            <w:shd w:val="clear" w:color="auto" w:fill="DEEBF7"/>
          </w:tcPr>
          <w:p>
            <w:pPr>
              <w:jc w:val="center"/>
            </w:pPr>
            <w:r/>
            <w:r>
              <w:rPr>
                <w:rFonts w:ascii="Times New Roman" w:hAnsi="Times New Roman"/>
                <w:b/>
                <w:sz w:val="20"/>
              </w:rPr>
              <w:t>9.7</w:t>
            </w:r>
          </w:p>
        </w:tc>
        <w:tc>
          <w:tcPr>
            <w:tcW w:type="dxa" w:w="1881"/>
            <w:shd w:val="clear" w:color="auto" w:fill="DEEBF7"/>
          </w:tcPr>
          <w:p>
            <w:pPr>
              <w:jc w:val="center"/>
            </w:pPr>
            <w:r/>
            <w:r>
              <w:rPr>
                <w:rFonts w:ascii="Times New Roman" w:hAnsi="Times New Roman"/>
                <w:b/>
                <w:sz w:val="20"/>
              </w:rPr>
              <w:t>60.3</w:t>
            </w:r>
          </w:p>
        </w:tc>
      </w:tr>
    </w:tbl>
    <w:p>
      <w:pPr>
        <w:spacing w:after="120" w:line="280" w:lineRule="exact"/>
      </w:pPr>
    </w:p>
    <w:p>
      <w:pPr>
        <w:spacing w:before="240" w:after="80" w:line="280" w:lineRule="exact"/>
        <w:jc w:val="left"/>
      </w:pPr>
      <w:r>
        <w:rPr>
          <w:rFonts w:ascii="Times New Roman" w:hAnsi="Times New Roman"/>
          <w:b/>
          <w:sz w:val="22"/>
        </w:rPr>
        <w:t>Table 1B.</w:t>
      </w:r>
      <w:r>
        <w:rPr>
          <w:rFonts w:ascii="Times New Roman" w:hAnsi="Times New Roman"/>
          <w:sz w:val="22"/>
        </w:rPr>
        <w:t xml:space="preserve"> Overtime trend by year. * 2025 partial (Jan–May).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171b5"/>
          </w:tcPr>
          <w:p>
            <w:pPr>
              <w:jc w:val="center"/>
            </w:pPr>
            <w:r/>
            <w:r>
              <w:rPr>
                <w:rFonts w:ascii="Times New Roman" w:hAnsi="Times New Roman"/>
                <w:b/>
                <w:color w:val="FFFFFF"/>
                <w:sz w:val="20"/>
              </w:rPr>
              <w:t>Year</w:t>
            </w:r>
          </w:p>
        </w:tc>
        <w:tc>
          <w:tcPr>
            <w:tcW w:type="dxa" w:w="2351"/>
            <w:shd w:val="clear" w:color="auto" w:fill="2171b5"/>
          </w:tcPr>
          <w:p>
            <w:pPr>
              <w:jc w:val="center"/>
            </w:pPr>
            <w:r/>
            <w:r>
              <w:rPr>
                <w:rFonts w:ascii="Times New Roman" w:hAnsi="Times New Roman"/>
                <w:b/>
                <w:color w:val="FFFFFF"/>
                <w:sz w:val="20"/>
              </w:rPr>
              <w:t>OT rate (%)</w:t>
            </w:r>
          </w:p>
        </w:tc>
        <w:tc>
          <w:tcPr>
            <w:tcW w:type="dxa" w:w="2351"/>
            <w:shd w:val="clear" w:color="auto" w:fill="2171b5"/>
          </w:tcPr>
          <w:p>
            <w:pPr>
              <w:jc w:val="center"/>
            </w:pPr>
            <w:r/>
            <w:r>
              <w:rPr>
                <w:rFonts w:ascii="Times New Roman" w:hAnsi="Times New Roman"/>
                <w:b/>
                <w:color w:val="FFFFFF"/>
                <w:sz w:val="20"/>
              </w:rPr>
              <w:t>Mean OT (min)</w:t>
            </w:r>
          </w:p>
        </w:tc>
        <w:tc>
          <w:tcPr>
            <w:tcW w:type="dxa" w:w="2351"/>
            <w:shd w:val="clear" w:color="auto" w:fill="2171b5"/>
          </w:tcPr>
          <w:p>
            <w:pPr>
              <w:jc w:val="center"/>
            </w:pPr>
            <w:r/>
            <w:r>
              <w:rPr>
                <w:rFonts w:ascii="Times New Roman" w:hAnsi="Times New Roman"/>
                <w:b/>
                <w:color w:val="FFFFFF"/>
                <w:sz w:val="20"/>
              </w:rPr>
              <w:t>Median OT (min)</w:t>
            </w:r>
          </w:p>
        </w:tc>
      </w:tr>
      <w:tr>
        <w:tc>
          <w:tcPr>
            <w:tcW w:type="dxa" w:w="2351"/>
          </w:tcPr>
          <w:p>
            <w:pPr>
              <w:jc w:val="center"/>
            </w:pPr>
            <w:r/>
            <w:r>
              <w:rPr>
                <w:rFonts w:ascii="Times New Roman" w:hAnsi="Times New Roman"/>
                <w:b w:val="0"/>
                <w:sz w:val="20"/>
              </w:rPr>
              <w:t>2022</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61.8</w:t>
            </w:r>
          </w:p>
        </w:tc>
        <w:tc>
          <w:tcPr>
            <w:tcW w:type="dxa" w:w="2351"/>
          </w:tcPr>
          <w:p>
            <w:pPr>
              <w:jc w:val="center"/>
            </w:pPr>
            <w:r/>
            <w:r>
              <w:rPr>
                <w:rFonts w:ascii="Times New Roman" w:hAnsi="Times New Roman"/>
                <w:b w:val="0"/>
                <w:sz w:val="20"/>
              </w:rPr>
              <w:t>40</w:t>
            </w:r>
          </w:p>
        </w:tc>
      </w:tr>
      <w:tr>
        <w:tc>
          <w:tcPr>
            <w:tcW w:type="dxa" w:w="2351"/>
          </w:tcPr>
          <w:p>
            <w:pPr>
              <w:jc w:val="center"/>
            </w:pPr>
            <w:r/>
            <w:r>
              <w:rPr>
                <w:rFonts w:ascii="Times New Roman" w:hAnsi="Times New Roman"/>
                <w:b w:val="0"/>
                <w:sz w:val="20"/>
              </w:rPr>
              <w:t>2023</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58.8</w:t>
            </w:r>
          </w:p>
        </w:tc>
        <w:tc>
          <w:tcPr>
            <w:tcW w:type="dxa" w:w="2351"/>
          </w:tcPr>
          <w:p>
            <w:pPr>
              <w:jc w:val="center"/>
            </w:pPr>
            <w:r/>
            <w:r>
              <w:rPr>
                <w:rFonts w:ascii="Times New Roman" w:hAnsi="Times New Roman"/>
                <w:b w:val="0"/>
                <w:sz w:val="20"/>
              </w:rPr>
              <w:t>38</w:t>
            </w:r>
          </w:p>
        </w:tc>
      </w:tr>
      <w:tr>
        <w:tc>
          <w:tcPr>
            <w:tcW w:type="dxa" w:w="2351"/>
          </w:tcPr>
          <w:p>
            <w:pPr>
              <w:jc w:val="center"/>
            </w:pPr>
            <w:r/>
            <w:r>
              <w:rPr>
                <w:rFonts w:ascii="Times New Roman" w:hAnsi="Times New Roman"/>
                <w:b w:val="0"/>
                <w:sz w:val="20"/>
              </w:rPr>
              <w:t>2024</w:t>
            </w:r>
          </w:p>
        </w:tc>
        <w:tc>
          <w:tcPr>
            <w:tcW w:type="dxa" w:w="2351"/>
          </w:tcPr>
          <w:p>
            <w:pPr>
              <w:jc w:val="center"/>
            </w:pPr>
            <w:r/>
            <w:r>
              <w:rPr>
                <w:rFonts w:ascii="Times New Roman" w:hAnsi="Times New Roman"/>
                <w:b w:val="0"/>
                <w:sz w:val="20"/>
              </w:rPr>
              <w:t>9.7</w:t>
            </w:r>
          </w:p>
        </w:tc>
        <w:tc>
          <w:tcPr>
            <w:tcW w:type="dxa" w:w="2351"/>
          </w:tcPr>
          <w:p>
            <w:pPr>
              <w:jc w:val="center"/>
            </w:pPr>
            <w:r/>
            <w:r>
              <w:rPr>
                <w:rFonts w:ascii="Times New Roman" w:hAnsi="Times New Roman"/>
                <w:b w:val="0"/>
                <w:sz w:val="20"/>
              </w:rPr>
              <w:t>61.3</w:t>
            </w:r>
          </w:p>
        </w:tc>
        <w:tc>
          <w:tcPr>
            <w:tcW w:type="dxa" w:w="2351"/>
          </w:tcPr>
          <w:p>
            <w:pPr>
              <w:jc w:val="center"/>
            </w:pPr>
            <w:r/>
            <w:r>
              <w:rPr>
                <w:rFonts w:ascii="Times New Roman" w:hAnsi="Times New Roman"/>
                <w:b w:val="0"/>
                <w:sz w:val="20"/>
              </w:rPr>
              <w:t>39</w:t>
            </w:r>
          </w:p>
        </w:tc>
      </w:tr>
      <w:tr>
        <w:tc>
          <w:tcPr>
            <w:tcW w:type="dxa" w:w="2351"/>
          </w:tcPr>
          <w:p>
            <w:pPr>
              <w:jc w:val="center"/>
            </w:pPr>
            <w:r/>
            <w:r>
              <w:rPr>
                <w:rFonts w:ascii="Times New Roman" w:hAnsi="Times New Roman"/>
                <w:b w:val="0"/>
                <w:sz w:val="20"/>
              </w:rPr>
              <w:t>2025*</w:t>
            </w:r>
          </w:p>
        </w:tc>
        <w:tc>
          <w:tcPr>
            <w:tcW w:type="dxa" w:w="2351"/>
          </w:tcPr>
          <w:p>
            <w:pPr>
              <w:jc w:val="center"/>
            </w:pPr>
            <w:r/>
            <w:r>
              <w:rPr>
                <w:rFonts w:ascii="Times New Roman" w:hAnsi="Times New Roman"/>
                <w:b w:val="0"/>
                <w:sz w:val="20"/>
              </w:rPr>
              <w:t>8.6</w:t>
            </w:r>
          </w:p>
        </w:tc>
        <w:tc>
          <w:tcPr>
            <w:tcW w:type="dxa" w:w="2351"/>
          </w:tcPr>
          <w:p>
            <w:pPr>
              <w:jc w:val="center"/>
            </w:pPr>
            <w:r/>
            <w:r>
              <w:rPr>
                <w:rFonts w:ascii="Times New Roman" w:hAnsi="Times New Roman"/>
                <w:b w:val="0"/>
                <w:sz w:val="20"/>
              </w:rPr>
              <w:t>58.2</w:t>
            </w:r>
          </w:p>
        </w:tc>
        <w:tc>
          <w:tcPr>
            <w:tcW w:type="dxa" w:w="2351"/>
          </w:tcPr>
          <w:p>
            <w:pPr>
              <w:jc w:val="center"/>
            </w:pPr>
            <w:r/>
            <w:r>
              <w:rPr>
                <w:rFonts w:ascii="Times New Roman" w:hAnsi="Times New Roman"/>
                <w:b w:val="0"/>
                <w:sz w:val="20"/>
              </w:rPr>
              <w:t>37</w:t>
            </w:r>
          </w:p>
        </w:tc>
      </w:tr>
    </w:tbl>
    <w:p>
      <w:pPr>
        <w:spacing w:after="120" w:line="28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Rates therefore spanned nearly an order of magnitude across rooms in the same hospital.</w:t>
      </w:r>
    </w:p>
    <w:p>
      <w:pPr>
        <w:spacing w:before="240" w:after="120" w:line="280" w:lineRule="exact"/>
        <w:jc w:val="center"/>
      </w:pPr>
      <w:r>
        <w:drawing>
          <wp:inline xmlns:a="http://schemas.openxmlformats.org/drawingml/2006/main" xmlns:pic="http://schemas.openxmlformats.org/drawingml/2006/picture">
            <wp:extent cx="5760720" cy="3866643"/>
            <wp:docPr id="1" name="Picture 1"/>
            <wp:cNvGraphicFramePr>
              <a:graphicFrameLocks noChangeAspect="1"/>
            </wp:cNvGraphicFramePr>
            <a:graphic>
              <a:graphicData uri="http://schemas.openxmlformats.org/drawingml/2006/picture">
                <pic:pic>
                  <pic:nvPicPr>
                    <pic:cNvPr id="0" name="fig2_room_overtime.png"/>
                    <pic:cNvPicPr/>
                  </pic:nvPicPr>
                  <pic:blipFill>
                    <a:blip r:embed="rId9"/>
                    <a:stretch>
                      <a:fillRect/>
                    </a:stretch>
                  </pic:blipFill>
                  <pic:spPr>
                    <a:xfrm>
                      <a:off x="0" y="0"/>
                      <a:ext cx="5760720" cy="3866643"/>
                    </a:xfrm>
                    <a:prstGeom prst="rect"/>
                  </pic:spPr>
                </pic:pic>
              </a:graphicData>
            </a:graphic>
          </wp:inline>
        </w:drawing>
      </w:r>
    </w:p>
    <w:p>
      <w:pPr>
        <w:spacing w:after="240" w:line="280" w:lineRule="exact"/>
        <w:jc w:val="left"/>
      </w:pPr>
      <w:r>
        <w:rPr>
          <w:rFonts w:ascii="Times New Roman" w:hAnsi="Times New Roman"/>
          <w:b/>
          <w:sz w:val="22"/>
        </w:rPr>
        <w:t>Figure 1.</w:t>
      </w:r>
      <w:r>
        <w:rPr>
          <w:rFonts w:ascii="Times New Roman" w:hAnsi="Times New Roman"/>
          <w:sz w:val="22"/>
        </w:rPr>
        <w:t xml:space="preserve"> Room-level overtime concentration. Panel A: percentage of cases with overtime per operating room, ordered ascending. Panel B: mean overtime duration per room (minutes). Overall: 7,729 of 79,352 cases (9.7%), mean 60.3 min, median 39 min, P95 197 min.</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ran 22.3 minutes shorter than planned. We report these figures descriptively; the data do not let us determine whether displacement was a cause of, or a response to, delays elsewhere in the day.</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before="240" w:after="80" w:line="280" w:lineRule="exact"/>
        <w:jc w:val="left"/>
      </w:pPr>
      <w:r>
        <w:rPr>
          <w:rFonts w:ascii="Times New Roman" w:hAnsi="Times New Roman"/>
          <w:b/>
          <w:sz w:val="22"/>
        </w:rPr>
        <w:t>Table 2A.</w:t>
      </w:r>
      <w:r>
        <w:rPr>
          <w:rFonts w:ascii="Times New Roman" w:hAnsi="Times New Roman"/>
          <w:sz w:val="22"/>
        </w:rPr>
        <w:t xml:space="preserve"> Volume and overtime by urgency.</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171b5"/>
          </w:tcPr>
          <w:p>
            <w:pPr>
              <w:jc w:val="center"/>
            </w:pPr>
            <w:r/>
            <w:r>
              <w:rPr>
                <w:rFonts w:ascii="Times New Roman" w:hAnsi="Times New Roman"/>
                <w:b/>
                <w:color w:val="FFFFFF"/>
                <w:sz w:val="20"/>
              </w:rPr>
              <w:t>Urgency</w:t>
            </w:r>
          </w:p>
        </w:tc>
        <w:tc>
          <w:tcPr>
            <w:tcW w:type="dxa" w:w="1344"/>
            <w:shd w:val="clear" w:color="auto" w:fill="2171b5"/>
          </w:tcPr>
          <w:p>
            <w:pPr>
              <w:jc w:val="center"/>
            </w:pPr>
            <w:r/>
            <w:r>
              <w:rPr>
                <w:rFonts w:ascii="Times New Roman" w:hAnsi="Times New Roman"/>
                <w:b/>
                <w:color w:val="FFFFFF"/>
                <w:sz w:val="20"/>
              </w:rPr>
              <w:t>n</w:t>
            </w:r>
          </w:p>
        </w:tc>
        <w:tc>
          <w:tcPr>
            <w:tcW w:type="dxa" w:w="1344"/>
            <w:shd w:val="clear" w:color="auto" w:fill="2171b5"/>
          </w:tcPr>
          <w:p>
            <w:pPr>
              <w:jc w:val="center"/>
            </w:pPr>
            <w:r/>
            <w:r>
              <w:rPr>
                <w:rFonts w:ascii="Times New Roman" w:hAnsi="Times New Roman"/>
                <w:b/>
                <w:color w:val="FFFFFF"/>
                <w:sz w:val="20"/>
              </w:rPr>
              <w:t>Share</w:t>
            </w:r>
          </w:p>
        </w:tc>
        <w:tc>
          <w:tcPr>
            <w:tcW w:type="dxa" w:w="1344"/>
            <w:shd w:val="clear" w:color="auto" w:fill="2171b5"/>
          </w:tcPr>
          <w:p>
            <w:pPr>
              <w:jc w:val="center"/>
            </w:pPr>
            <w:r/>
            <w:r>
              <w:rPr>
                <w:rFonts w:ascii="Times New Roman" w:hAnsi="Times New Roman"/>
                <w:b/>
                <w:color w:val="FFFFFF"/>
                <w:sz w:val="20"/>
              </w:rPr>
              <w:t>After-hours n</w:t>
            </w:r>
          </w:p>
        </w:tc>
        <w:tc>
          <w:tcPr>
            <w:tcW w:type="dxa" w:w="1344"/>
            <w:shd w:val="clear" w:color="auto" w:fill="2171b5"/>
          </w:tcPr>
          <w:p>
            <w:pPr>
              <w:jc w:val="center"/>
            </w:pPr>
            <w:r/>
            <w:r>
              <w:rPr>
                <w:rFonts w:ascii="Times New Roman" w:hAnsi="Times New Roman"/>
                <w:b/>
                <w:color w:val="FFFFFF"/>
                <w:sz w:val="20"/>
              </w:rPr>
              <w:t>After-hours rate</w:t>
            </w:r>
          </w:p>
        </w:tc>
        <w:tc>
          <w:tcPr>
            <w:tcW w:type="dxa" w:w="1344"/>
            <w:shd w:val="clear" w:color="auto" w:fill="2171b5"/>
          </w:tcPr>
          <w:p>
            <w:pPr>
              <w:jc w:val="center"/>
            </w:pPr>
            <w:r/>
            <w:r>
              <w:rPr>
                <w:rFonts w:ascii="Times New Roman" w:hAnsi="Times New Roman"/>
                <w:b/>
                <w:color w:val="FFFFFF"/>
                <w:sz w:val="20"/>
              </w:rPr>
              <w:t>Mean OT (min)</w:t>
            </w:r>
          </w:p>
        </w:tc>
        <w:tc>
          <w:tcPr>
            <w:tcW w:type="dxa" w:w="1344"/>
            <w:shd w:val="clear" w:color="auto" w:fill="2171b5"/>
          </w:tcPr>
          <w:p>
            <w:pPr>
              <w:jc w:val="center"/>
            </w:pPr>
            <w:r/>
            <w:r>
              <w:rPr>
                <w:rFonts w:ascii="Times New Roman" w:hAnsi="Times New Roman"/>
                <w:b/>
                <w:color w:val="FFFFFF"/>
                <w:sz w:val="20"/>
              </w:rPr>
              <w:t>P95 OT (min)</w:t>
            </w:r>
          </w:p>
        </w:tc>
      </w:tr>
      <w:tr>
        <w:tc>
          <w:tcPr>
            <w:tcW w:type="dxa" w:w="1344"/>
          </w:tcPr>
          <w:p>
            <w:pPr>
              <w:jc w:val="center"/>
            </w:pPr>
            <w:r/>
            <w:r>
              <w:rPr>
                <w:rFonts w:ascii="Times New Roman" w:hAnsi="Times New Roman"/>
                <w:b w:val="0"/>
                <w:sz w:val="20"/>
              </w:rPr>
              <w:t>Elective</w:t>
            </w:r>
          </w:p>
        </w:tc>
        <w:tc>
          <w:tcPr>
            <w:tcW w:type="dxa" w:w="1344"/>
          </w:tcPr>
          <w:p>
            <w:pPr>
              <w:jc w:val="center"/>
            </w:pPr>
            <w:r/>
            <w:r>
              <w:rPr>
                <w:rFonts w:ascii="Times New Roman" w:hAnsi="Times New Roman"/>
                <w:b w:val="0"/>
                <w:sz w:val="20"/>
              </w:rPr>
              <w:t>67,736</w:t>
            </w:r>
          </w:p>
        </w:tc>
        <w:tc>
          <w:tcPr>
            <w:tcW w:type="dxa" w:w="1344"/>
          </w:tcPr>
          <w:p>
            <w:pPr>
              <w:jc w:val="center"/>
            </w:pPr>
            <w:r/>
            <w:r>
              <w:rPr>
                <w:rFonts w:ascii="Times New Roman" w:hAnsi="Times New Roman"/>
                <w:b w:val="0"/>
                <w:sz w:val="20"/>
              </w:rPr>
              <w:t>85.4%</w:t>
            </w:r>
          </w:p>
        </w:tc>
        <w:tc>
          <w:tcPr>
            <w:tcW w:type="dxa" w:w="1344"/>
          </w:tcPr>
          <w:p>
            <w:pPr>
              <w:jc w:val="center"/>
            </w:pPr>
            <w:r/>
            <w:r>
              <w:rPr>
                <w:rFonts w:ascii="Times New Roman" w:hAnsi="Times New Roman"/>
                <w:b w:val="0"/>
                <w:sz w:val="20"/>
              </w:rPr>
              <w:t>5,620</w:t>
            </w:r>
          </w:p>
        </w:tc>
        <w:tc>
          <w:tcPr>
            <w:tcW w:type="dxa" w:w="1344"/>
          </w:tcPr>
          <w:p>
            <w:pPr>
              <w:jc w:val="center"/>
            </w:pPr>
            <w:r/>
            <w:r>
              <w:rPr>
                <w:rFonts w:ascii="Times New Roman" w:hAnsi="Times New Roman"/>
                <w:b w:val="0"/>
                <w:sz w:val="20"/>
              </w:rPr>
              <w:t>8.3%</w:t>
            </w:r>
          </w:p>
        </w:tc>
        <w:tc>
          <w:tcPr>
            <w:tcW w:type="dxa" w:w="1344"/>
          </w:tcPr>
          <w:p>
            <w:pPr>
              <w:jc w:val="center"/>
            </w:pPr>
            <w:r/>
            <w:r>
              <w:rPr>
                <w:rFonts w:ascii="Times New Roman" w:hAnsi="Times New Roman"/>
                <w:b w:val="0"/>
                <w:sz w:val="20"/>
              </w:rPr>
              <w:t>5</w:t>
            </w:r>
          </w:p>
        </w:tc>
        <w:tc>
          <w:tcPr>
            <w:tcW w:type="dxa" w:w="1344"/>
          </w:tcPr>
          <w:p>
            <w:pPr>
              <w:jc w:val="center"/>
            </w:pPr>
            <w:r/>
            <w:r>
              <w:rPr>
                <w:rFonts w:ascii="Times New Roman" w:hAnsi="Times New Roman"/>
                <w:b w:val="0"/>
                <w:sz w:val="20"/>
              </w:rPr>
              <w:t>29</w:t>
            </w:r>
          </w:p>
        </w:tc>
      </w:tr>
      <w:tr>
        <w:tc>
          <w:tcPr>
            <w:tcW w:type="dxa" w:w="1344"/>
          </w:tcPr>
          <w:p>
            <w:pPr>
              <w:jc w:val="center"/>
            </w:pPr>
            <w:r/>
            <w:r>
              <w:rPr>
                <w:rFonts w:ascii="Times New Roman" w:hAnsi="Times New Roman"/>
                <w:b w:val="0"/>
                <w:sz w:val="20"/>
              </w:rPr>
              <w:t>Non-elective</w:t>
            </w:r>
          </w:p>
        </w:tc>
        <w:tc>
          <w:tcPr>
            <w:tcW w:type="dxa" w:w="1344"/>
          </w:tcPr>
          <w:p>
            <w:pPr>
              <w:jc w:val="center"/>
            </w:pPr>
            <w:r/>
            <w:r>
              <w:rPr>
                <w:rFonts w:ascii="Times New Roman" w:hAnsi="Times New Roman"/>
                <w:b w:val="0"/>
                <w:sz w:val="20"/>
              </w:rPr>
              <w:t>11,616</w:t>
            </w:r>
          </w:p>
        </w:tc>
        <w:tc>
          <w:tcPr>
            <w:tcW w:type="dxa" w:w="1344"/>
          </w:tcPr>
          <w:p>
            <w:pPr>
              <w:jc w:val="center"/>
            </w:pPr>
            <w:r/>
            <w:r>
              <w:rPr>
                <w:rFonts w:ascii="Times New Roman" w:hAnsi="Times New Roman"/>
                <w:b w:val="0"/>
                <w:sz w:val="20"/>
              </w:rPr>
              <w:t>14.6%</w:t>
            </w:r>
          </w:p>
        </w:tc>
        <w:tc>
          <w:tcPr>
            <w:tcW w:type="dxa" w:w="1344"/>
          </w:tcPr>
          <w:p>
            <w:pPr>
              <w:jc w:val="center"/>
            </w:pPr>
            <w:r/>
            <w:r>
              <w:rPr>
                <w:rFonts w:ascii="Times New Roman" w:hAnsi="Times New Roman"/>
                <w:b w:val="0"/>
                <w:sz w:val="20"/>
              </w:rPr>
              <w:t>2,109</w:t>
            </w:r>
          </w:p>
        </w:tc>
        <w:tc>
          <w:tcPr>
            <w:tcW w:type="dxa" w:w="1344"/>
          </w:tcPr>
          <w:p>
            <w:pPr>
              <w:jc w:val="center"/>
            </w:pPr>
            <w:r/>
            <w:r>
              <w:rPr>
                <w:rFonts w:ascii="Times New Roman" w:hAnsi="Times New Roman"/>
                <w:b w:val="0"/>
                <w:sz w:val="20"/>
              </w:rPr>
              <w:t>18.2%</w:t>
            </w:r>
          </w:p>
        </w:tc>
        <w:tc>
          <w:tcPr>
            <w:tcW w:type="dxa" w:w="1344"/>
          </w:tcPr>
          <w:p>
            <w:pPr>
              <w:jc w:val="center"/>
            </w:pPr>
            <w:r/>
            <w:r>
              <w:rPr>
                <w:rFonts w:ascii="Times New Roman" w:hAnsi="Times New Roman"/>
                <w:b w:val="0"/>
                <w:sz w:val="20"/>
              </w:rPr>
              <w:t>10.7</w:t>
            </w:r>
          </w:p>
        </w:tc>
        <w:tc>
          <w:tcPr>
            <w:tcW w:type="dxa" w:w="1344"/>
          </w:tcPr>
          <w:p>
            <w:pPr>
              <w:jc w:val="center"/>
            </w:pPr>
            <w:r/>
            <w:r>
              <w:rPr>
                <w:rFonts w:ascii="Times New Roman" w:hAnsi="Times New Roman"/>
                <w:b w:val="0"/>
                <w:sz w:val="20"/>
              </w:rPr>
              <w:t>69</w:t>
            </w:r>
          </w:p>
        </w:tc>
      </w:tr>
      <w:tr>
        <w:tc>
          <w:tcPr>
            <w:tcW w:type="dxa" w:w="1344"/>
            <w:shd w:val="clear" w:color="auto" w:fill="DEEBF7"/>
          </w:tcPr>
          <w:p>
            <w:pPr>
              <w:jc w:val="center"/>
            </w:pPr>
            <w:r/>
            <w:r>
              <w:rPr>
                <w:rFonts w:ascii="Times New Roman" w:hAnsi="Times New Roman"/>
                <w:b/>
                <w:sz w:val="20"/>
              </w:rPr>
              <w:t>Total</w:t>
            </w:r>
          </w:p>
        </w:tc>
        <w:tc>
          <w:tcPr>
            <w:tcW w:type="dxa" w:w="1344"/>
            <w:shd w:val="clear" w:color="auto" w:fill="DEEBF7"/>
          </w:tcPr>
          <w:p>
            <w:pPr>
              <w:jc w:val="center"/>
            </w:pPr>
            <w:r/>
            <w:r>
              <w:rPr>
                <w:rFonts w:ascii="Times New Roman" w:hAnsi="Times New Roman"/>
                <w:b/>
                <w:sz w:val="20"/>
              </w:rPr>
              <w:t>79,352</w:t>
            </w:r>
          </w:p>
        </w:tc>
        <w:tc>
          <w:tcPr>
            <w:tcW w:type="dxa" w:w="1344"/>
            <w:shd w:val="clear" w:color="auto" w:fill="DEEBF7"/>
          </w:tcPr>
          <w:p>
            <w:pPr>
              <w:jc w:val="center"/>
            </w:pPr>
            <w:r/>
            <w:r>
              <w:rPr>
                <w:rFonts w:ascii="Times New Roman" w:hAnsi="Times New Roman"/>
                <w:b/>
                <w:sz w:val="20"/>
              </w:rPr>
              <w:t>100%</w:t>
            </w:r>
          </w:p>
        </w:tc>
        <w:tc>
          <w:tcPr>
            <w:tcW w:type="dxa" w:w="1344"/>
            <w:shd w:val="clear" w:color="auto" w:fill="DEEBF7"/>
          </w:tcPr>
          <w:p>
            <w:pPr>
              <w:jc w:val="center"/>
            </w:pPr>
            <w:r/>
            <w:r>
              <w:rPr>
                <w:rFonts w:ascii="Times New Roman" w:hAnsi="Times New Roman"/>
                <w:b/>
                <w:sz w:val="20"/>
              </w:rPr>
              <w:t>7,729</w:t>
            </w:r>
          </w:p>
        </w:tc>
        <w:tc>
          <w:tcPr>
            <w:tcW w:type="dxa" w:w="1344"/>
            <w:shd w:val="clear" w:color="auto" w:fill="DEEBF7"/>
          </w:tcPr>
          <w:p>
            <w:pPr>
              <w:jc w:val="center"/>
            </w:pPr>
            <w:r/>
            <w:r>
              <w:rPr>
                <w:rFonts w:ascii="Times New Roman" w:hAnsi="Times New Roman"/>
                <w:b/>
                <w:sz w:val="20"/>
              </w:rPr>
              <w:t>9.7%</w:t>
            </w:r>
          </w:p>
        </w:tc>
        <w:tc>
          <w:tcPr>
            <w:tcW w:type="dxa" w:w="1344"/>
            <w:shd w:val="clear" w:color="auto" w:fill="DEEBF7"/>
          </w:tcPr>
          <w:p>
            <w:pPr>
              <w:jc w:val="center"/>
            </w:pPr>
            <w:r/>
            <w:r>
              <w:rPr>
                <w:rFonts w:ascii="Times New Roman" w:hAnsi="Times New Roman"/>
                <w:b/>
                <w:sz w:val="20"/>
              </w:rPr>
              <w:t>–</w:t>
            </w:r>
          </w:p>
        </w:tc>
        <w:tc>
          <w:tcPr>
            <w:tcW w:type="dxa" w:w="1344"/>
            <w:shd w:val="clear" w:color="auto" w:fill="DEEBF7"/>
          </w:tcPr>
          <w:p>
            <w:pPr>
              <w:jc w:val="center"/>
            </w:pPr>
            <w:r/>
            <w:r>
              <w:rPr>
                <w:rFonts w:ascii="Times New Roman" w:hAnsi="Times New Roman"/>
                <w:b/>
                <w:sz w:val="20"/>
              </w:rPr>
              <w:t>–</w:t>
            </w:r>
          </w:p>
        </w:tc>
      </w:tr>
    </w:tbl>
    <w:p>
      <w:pPr>
        <w:spacing w:after="120" w:line="280" w:lineRule="exact"/>
      </w:pPr>
    </w:p>
    <w:p>
      <w:pPr>
        <w:spacing w:before="240" w:after="80" w:line="280" w:lineRule="exact"/>
        <w:jc w:val="left"/>
      </w:pPr>
      <w:r>
        <w:rPr>
          <w:rFonts w:ascii="Times New Roman" w:hAnsi="Times New Roman"/>
          <w:b/>
          <w:sz w:val="22"/>
        </w:rPr>
        <w:t>Table 2B.</w:t>
      </w:r>
      <w:r>
        <w:rPr>
          <w:rFonts w:ascii="Times New Roman" w:hAnsi="Times New Roman"/>
          <w:sz w:val="22"/>
        </w:rPr>
        <w:t xml:space="preserve"> Urgent–elective overlap in the same room.</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171b5"/>
          </w:tcPr>
          <w:p>
            <w:pPr>
              <w:jc w:val="center"/>
            </w:pPr>
            <w:r/>
            <w:r>
              <w:rPr>
                <w:rFonts w:ascii="Times New Roman" w:hAnsi="Times New Roman"/>
                <w:b/>
                <w:color w:val="FFFFFF"/>
                <w:sz w:val="20"/>
              </w:rPr>
              <w:t>Metric</w:t>
            </w:r>
          </w:p>
        </w:tc>
        <w:tc>
          <w:tcPr>
            <w:tcW w:type="dxa" w:w="4703"/>
            <w:shd w:val="clear" w:color="auto" w:fill="2171b5"/>
          </w:tcPr>
          <w:p>
            <w:pPr>
              <w:jc w:val="center"/>
            </w:pPr>
            <w:r/>
            <w:r>
              <w:rPr>
                <w:rFonts w:ascii="Times New Roman" w:hAnsi="Times New Roman"/>
                <w:b/>
                <w:color w:val="FFFFFF"/>
                <w:sz w:val="20"/>
              </w:rPr>
              <w:t>Value</w:t>
            </w:r>
          </w:p>
        </w:tc>
      </w:tr>
      <w:tr>
        <w:tc>
          <w:tcPr>
            <w:tcW w:type="dxa" w:w="4703"/>
          </w:tcPr>
          <w:p>
            <w:pPr>
              <w:jc w:val="center"/>
            </w:pPr>
            <w:r/>
            <w:r>
              <w:rPr>
                <w:rFonts w:ascii="Times New Roman" w:hAnsi="Times New Roman"/>
                <w:b w:val="0"/>
                <w:sz w:val="20"/>
              </w:rPr>
              <w:t>Days with at least one urgent–elective overlap</w:t>
            </w:r>
          </w:p>
        </w:tc>
        <w:tc>
          <w:tcPr>
            <w:tcW w:type="dxa" w:w="4703"/>
          </w:tcPr>
          <w:p>
            <w:pPr>
              <w:jc w:val="center"/>
            </w:pPr>
            <w:r/>
            <w:r>
              <w:rPr>
                <w:rFonts w:ascii="Times New Roman" w:hAnsi="Times New Roman"/>
                <w:b w:val="0"/>
                <w:sz w:val="20"/>
              </w:rPr>
              <w:t>858 of 1,247 (68.8%)</w:t>
            </w:r>
          </w:p>
        </w:tc>
      </w:tr>
      <w:tr>
        <w:tc>
          <w:tcPr>
            <w:tcW w:type="dxa" w:w="4703"/>
          </w:tcPr>
          <w:p>
            <w:pPr>
              <w:jc w:val="center"/>
            </w:pPr>
            <w:r/>
            <w:r>
              <w:rPr>
                <w:rFonts w:ascii="Times New Roman" w:hAnsi="Times New Roman"/>
                <w:b w:val="0"/>
                <w:sz w:val="20"/>
              </w:rPr>
              <w:t>Highest-burden room (OR11)</w:t>
            </w:r>
          </w:p>
        </w:tc>
        <w:tc>
          <w:tcPr>
            <w:tcW w:type="dxa" w:w="4703"/>
          </w:tcPr>
          <w:p>
            <w:pPr>
              <w:jc w:val="center"/>
            </w:pPr>
            <w:r/>
            <w:r>
              <w:rPr>
                <w:rFonts w:ascii="Times New Roman" w:hAnsi="Times New Roman"/>
                <w:b w:val="0"/>
                <w:sz w:val="20"/>
              </w:rPr>
              <w:t>475 events; 15.2% of OR11 elective cases</w:t>
            </w:r>
          </w:p>
        </w:tc>
      </w:tr>
      <w:tr>
        <w:tc>
          <w:tcPr>
            <w:tcW w:type="dxa" w:w="4703"/>
          </w:tcPr>
          <w:p>
            <w:pPr>
              <w:jc w:val="center"/>
            </w:pPr>
            <w:r/>
            <w:r>
              <w:rPr>
                <w:rFonts w:ascii="Times New Roman" w:hAnsi="Times New Roman"/>
                <w:b w:val="0"/>
                <w:sz w:val="20"/>
              </w:rPr>
              <w:t>Median start delay at OR11 (no overlap)</w:t>
            </w:r>
          </w:p>
        </w:tc>
        <w:tc>
          <w:tcPr>
            <w:tcW w:type="dxa" w:w="4703"/>
          </w:tcPr>
          <w:p>
            <w:pPr>
              <w:jc w:val="center"/>
            </w:pPr>
            <w:r/>
            <w:r>
              <w:rPr>
                <w:rFonts w:ascii="Times New Roman" w:hAnsi="Times New Roman"/>
                <w:b w:val="0"/>
                <w:sz w:val="20"/>
              </w:rPr>
              <w:t>28 min</w:t>
            </w:r>
          </w:p>
        </w:tc>
      </w:tr>
      <w:tr>
        <w:tc>
          <w:tcPr>
            <w:tcW w:type="dxa" w:w="4703"/>
          </w:tcPr>
          <w:p>
            <w:pPr>
              <w:jc w:val="center"/>
            </w:pPr>
            <w:r/>
            <w:r>
              <w:rPr>
                <w:rFonts w:ascii="Times New Roman" w:hAnsi="Times New Roman"/>
                <w:b w:val="0"/>
                <w:sz w:val="20"/>
              </w:rPr>
              <w:t>Median start delay at OR11 (overlap)</w:t>
            </w:r>
          </w:p>
        </w:tc>
        <w:tc>
          <w:tcPr>
            <w:tcW w:type="dxa" w:w="4703"/>
          </w:tcPr>
          <w:p>
            <w:pPr>
              <w:jc w:val="center"/>
            </w:pPr>
            <w:r/>
            <w:r>
              <w:rPr>
                <w:rFonts w:ascii="Times New Roman" w:hAnsi="Times New Roman"/>
                <w:b w:val="0"/>
                <w:sz w:val="20"/>
              </w:rPr>
              <w:t>60 min</w:t>
            </w:r>
          </w:p>
        </w:tc>
      </w:tr>
    </w:tbl>
    <w:p>
      <w:pPr>
        <w:spacing w:after="120" w:line="280" w:lineRule="exact"/>
      </w:pP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