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18</w:t>
      </w:r>
      <w:r>
        <w:rPr>
          <w:rFonts w:ascii="Times New Roman" w:hAnsi="Times New Roman"/>
          <w:b w:val="0"/>
          <w:i w:val="0"/>
          <w:sz w:val="24"/>
        </w:rPr>
        <w:t xml:space="preserve"> We instead define overtime against the staffing boundary, because the change of nursing staff at each shift end is the operational event that gives overtime its meaning at this site.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15</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14</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18</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rather than an exception: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19.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