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440" w:lineRule="exact"/>
        <w:jc w:val="left"/>
      </w:pPr>
      <w:r>
        <w:rPr>
          <w:rFonts w:ascii="Times New Roman" w:hAnsi="Times New Roman"/>
          <w:b/>
          <w:sz w:val="28"/>
        </w:rPr>
        <w:t>Supplementary materials</w:t>
      </w:r>
    </w:p>
    <w:p>
      <w:pPr>
        <w:spacing w:after="240" w:before="0" w:line="400" w:lineRule="exact"/>
        <w:jc w:val="left"/>
      </w:pPr>
      <w:r>
        <w:rPr>
          <w:rFonts w:ascii="Times New Roman" w:hAnsi="Times New Roman"/>
          <w:b w:val="0"/>
          <w:i/>
          <w:sz w:val="22"/>
        </w:rPr>
        <w:t>For: Where does operating-room overtime come from? A retrospective single-center study.</w:t>
      </w:r>
    </w:p>
    <w:p>
      <w:pPr>
        <w:spacing w:after="480" w:before="0" w:line="400" w:lineRule="exact"/>
        <w:jc w:val="left"/>
      </w:pPr>
      <w:r>
        <w:rPr>
          <w:rFonts w:ascii="Times New Roman" w:hAnsi="Times New Roman"/>
          <w:b w:val="0"/>
          <w:i w:val="0"/>
          <w:sz w:val="22"/>
        </w:rPr>
        <w:t>Tharwat H, Riebus M, [Ben], [Dieter], Martin N.</w:t>
      </w:r>
    </w:p>
    <w:p>
      <w:pPr>
        <w:spacing w:before="240" w:after="120" w:line="400" w:lineRule="exact"/>
        <w:jc w:val="left"/>
      </w:pPr>
      <w:r>
        <w:rPr>
          <w:rFonts w:ascii="Times New Roman" w:hAnsi="Times New Roman"/>
          <w:b/>
          <w:sz w:val="24"/>
        </w:rPr>
        <w:t>Supplementary Table S1. Coefficient of variation by planned-duration bucket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171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Planned duration</w:t>
            </w:r>
          </w:p>
        </w:tc>
        <w:tc>
          <w:tcPr>
            <w:tcW w:type="dxa" w:w="2351"/>
            <w:shd w:val="clear" w:color="auto" w:fill="2171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n cases</w:t>
            </w:r>
          </w:p>
        </w:tc>
        <w:tc>
          <w:tcPr>
            <w:tcW w:type="dxa" w:w="2351"/>
            <w:shd w:val="clear" w:color="auto" w:fill="2171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CV (observed duration)</w:t>
            </w:r>
          </w:p>
        </w:tc>
        <w:tc>
          <w:tcPr>
            <w:tcW w:type="dxa" w:w="2351"/>
            <w:shd w:val="clear" w:color="auto" w:fill="2171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CV (planning deviation)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&lt;30 min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19,511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0.61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1.25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31–60 min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28,674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0.46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1.07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61–90 min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19,921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0.36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1.06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91–180 min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20,592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0.35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0.91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&gt;180 min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7,343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0.42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1.86</w:t>
            </w:r>
          </w:p>
        </w:tc>
      </w:tr>
    </w:tbl>
    <w:p>
      <w:pPr>
        <w:spacing w:after="240" w:line="320" w:lineRule="exact"/>
        <w:jc w:val="left"/>
      </w:pPr>
      <w:r>
        <w:rPr>
          <w:rFonts w:ascii="Times New Roman" w:hAnsi="Times New Roman"/>
          <w:b/>
          <w:sz w:val="22"/>
        </w:rPr>
        <w:t>Table S1.</w:t>
      </w:r>
      <w:r>
        <w:rPr>
          <w:rFonts w:ascii="Times New Roman" w:hAnsi="Times New Roman"/>
          <w:sz w:val="22"/>
        </w:rPr>
        <w:t xml:space="preserve"> Coefficient of variation (CV) of observed duration and of planning deviation, stratified by planned-duration bucket. Mid-length cases (61–180 min) carry the lowest CV. Very long cases (&gt;180 min) carry the largest planning-deviation CV.</w:t>
      </w:r>
    </w:p>
    <w:p>
      <w:pPr>
        <w:spacing w:before="360" w:after="120" w:line="400" w:lineRule="exact"/>
        <w:jc w:val="left"/>
      </w:pPr>
      <w:r>
        <w:rPr>
          <w:rFonts w:ascii="Times New Roman" w:hAnsi="Times New Roman"/>
          <w:b/>
          <w:sz w:val="24"/>
        </w:rPr>
        <w:t>Supplementary Table S2. Per-room start-time deviation vs overtime 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171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Room</w:t>
            </w:r>
          </w:p>
        </w:tc>
        <w:tc>
          <w:tcPr>
            <w:tcW w:type="dxa" w:w="1881"/>
            <w:shd w:val="clear" w:color="auto" w:fill="2171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n cases</w:t>
            </w:r>
          </w:p>
        </w:tc>
        <w:tc>
          <w:tcPr>
            <w:tcW w:type="dxa" w:w="1881"/>
            <w:shd w:val="clear" w:color="auto" w:fill="2171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Late starts (%)</w:t>
            </w:r>
          </w:p>
        </w:tc>
        <w:tc>
          <w:tcPr>
            <w:tcW w:type="dxa" w:w="1881"/>
            <w:shd w:val="clear" w:color="auto" w:fill="2171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Mean delay (min)</w:t>
            </w:r>
          </w:p>
        </w:tc>
        <w:tc>
          <w:tcPr>
            <w:tcW w:type="dxa" w:w="1881"/>
            <w:shd w:val="clear" w:color="auto" w:fill="2171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Overtime (%)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OR11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7,482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82.4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319.1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11.7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OR14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6,885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78.7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37.3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3.5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OR01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6,577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75.1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38.0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5.8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OR08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1,777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71.9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44.9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13.6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OR02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3,502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70.3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42.2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11.4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OR07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4,658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70.0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43.5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6.9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OR05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4,886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68.3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54.3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12.3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OR03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4,094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65.9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44.6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9.6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OR09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2,637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64.5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48.9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16.3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OR04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4,518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63.5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49.4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10.7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OR15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4,323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63.1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40.5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8.7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OR16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4,098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62.6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35.0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8.9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OR18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5,293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62.3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36.9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6.5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OR17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5,480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61.8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38.4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6.8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OR06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5,217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61.7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42.1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9.4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OR12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2,884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54.5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48.3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13.3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OR13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3,298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53.7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48.6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13.7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OR10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1,743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46.1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63.2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32.9</w:t>
            </w:r>
          </w:p>
        </w:tc>
      </w:tr>
    </w:tbl>
    <w:p>
      <w:pPr>
        <w:spacing w:after="240" w:line="320" w:lineRule="exact"/>
        <w:jc w:val="left"/>
      </w:pPr>
      <w:r>
        <w:rPr>
          <w:rFonts w:ascii="Times New Roman" w:hAnsi="Times New Roman"/>
          <w:b/>
          <w:sz w:val="22"/>
        </w:rPr>
        <w:t>Table S2.</w:t>
      </w:r>
      <w:r>
        <w:rPr>
          <w:rFonts w:ascii="Times New Roman" w:hAnsi="Times New Roman"/>
          <w:sz w:val="22"/>
        </w:rPr>
        <w:t xml:space="preserve"> Per-room late-start rate and mean start delay (minutes) versus overtime rate. OR10 (lowest late-start rate, 46.1%) has the highest overtime (32.9%); OR14 (78.7% late, second-worst punctuality) has the lowest overtime (3.5%); OR11 (worst punctuality, 82.4% late, 319 min mean delay) sits at mid-pack overtime (11.7%).</w:t>
      </w:r>
    </w:p>
    <w:p>
      <w:pPr>
        <w:spacing w:before="360" w:after="120" w:line="400" w:lineRule="exact"/>
        <w:jc w:val="left"/>
      </w:pPr>
      <w:r>
        <w:rPr>
          <w:rFonts w:ascii="Times New Roman" w:hAnsi="Times New Roman"/>
          <w:b/>
          <w:sz w:val="24"/>
        </w:rPr>
        <w:t>Supplementary Figure S1. Idle time between consecutive cases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01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idle_t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320" w:lineRule="exact"/>
        <w:jc w:val="left"/>
      </w:pPr>
      <w:r>
        <w:rPr>
          <w:rFonts w:ascii="Times New Roman" w:hAnsi="Times New Roman"/>
          <w:b/>
          <w:sz w:val="22"/>
        </w:rPr>
        <w:t>Figure S1.</w:t>
      </w:r>
      <w:r>
        <w:rPr>
          <w:rFonts w:ascii="Times New Roman" w:hAnsi="Times New Roman"/>
          <w:sz w:val="22"/>
        </w:rPr>
        <w:t xml:space="preserve"> Distribution of inter-case idle time between consecutive cases in the same room. Mean 9.9 min, median 8 min, P95 25 min, P99 42 min. Turnover is fast and consistent.</w:t>
      </w:r>
    </w:p>
    <w:p>
      <w:pPr>
        <w:spacing w:before="360" w:after="120" w:line="400" w:lineRule="exact"/>
        <w:jc w:val="left"/>
      </w:pPr>
      <w:r>
        <w:rPr>
          <w:rFonts w:ascii="Times New Roman" w:hAnsi="Times New Roman"/>
          <w:b/>
          <w:sz w:val="24"/>
        </w:rPr>
        <w:t>Supplementary Figure S2. Timing of overtime case completions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38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_end_tim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320" w:lineRule="exact"/>
        <w:jc w:val="left"/>
      </w:pPr>
      <w:r>
        <w:rPr>
          <w:rFonts w:ascii="Times New Roman" w:hAnsi="Times New Roman"/>
          <w:b/>
          <w:sz w:val="22"/>
        </w:rPr>
        <w:t>Figure S2.</w:t>
      </w:r>
      <w:r>
        <w:rPr>
          <w:rFonts w:ascii="Times New Roman" w:hAnsi="Times New Roman"/>
          <w:sz w:val="22"/>
        </w:rPr>
        <w:t xml:space="preserve"> Number of overtime cases by end-time hour. The largest single block of completions falls in the 16:30–17:30 window, right after the day-shift handover. The distribution decays through the evening, with a thin tail past 22:00.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400" w:lineRule="exact"/>
      <w:jc w:val="left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