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3,094 (body text, excluding abstract, tables, and references)</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and staff burnout, and it costs roughly twice as much per minute as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Of 79,352 cases, 7,729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was concentrated in a small number of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Standardised glossaries of perioperative process times define overrun and utilisation relative to allocated operating-room capacity.</w:t>
      </w:r>
      <w:r>
        <w:rPr>
          <w:rFonts w:ascii="Times New Roman" w:hAnsi="Times New Roman"/>
          <w:sz w:val="24"/>
          <w:vertAlign w:val="superscript"/>
        </w:rPr>
        <w:t>1</w:t>
      </w:r>
      <w:r>
        <w:rPr>
          <w:rFonts w:ascii="Times New Roman" w:hAnsi="Times New Roman"/>
          <w:b w:val="0"/>
          <w:i w:val="0"/>
          <w:sz w:val="24"/>
        </w:rPr>
        <w:t xml:space="preserve"> We instead define overtime against the staffing boundary, in line with the staff-overtime literature, where overtime is work beyond contracted hours;</w:t>
      </w:r>
      <w:r>
        <w:rPr>
          <w:rFonts w:ascii="Times New Roman" w:hAnsi="Times New Roman"/>
          <w:sz w:val="24"/>
          <w:vertAlign w:val="superscript"/>
        </w:rPr>
        <w:t>2</w:t>
      </w:r>
      <w:r>
        <w:rPr>
          <w:rFonts w:ascii="Times New Roman" w:hAnsi="Times New Roman"/>
          <w:b w:val="0"/>
          <w:i w:val="0"/>
          <w:sz w:val="24"/>
        </w:rPr>
        <w:t xml:space="preserve"> the change of nursing staff at each shift end is the operational event that gives overtime its meaning at this site. Overutilised time costs roughly double what underutilised time does,</w:t>
      </w:r>
      <w:r>
        <w:rPr>
          <w:rFonts w:ascii="Times New Roman" w:hAnsi="Times New Roman"/>
          <w:sz w:val="24"/>
          <w:vertAlign w:val="superscript"/>
        </w:rPr>
        <w:t>3</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pooling 18 studies found an adjusted odds ratio of 1.16 (95% CI 1.06 to 1.28), graded as low-certainty evidence.</w:t>
      </w:r>
      <w:r>
        <w:rPr>
          <w:rFonts w:ascii="Times New Roman" w:hAnsi="Times New Roman"/>
          <w:sz w:val="24"/>
          <w:vertAlign w:val="superscript"/>
        </w:rPr>
        <w:t>4</w:t>
      </w:r>
      <w:r>
        <w:rPr>
          <w:rFonts w:ascii="Times New Roman" w:hAnsi="Times New Roman"/>
          <w:b w:val="0"/>
          <w:i w:val="0"/>
          <w:sz w:val="24"/>
        </w:rPr>
        <w:t xml:space="preserve"> A propensity-matched cohort study of 281,717 South Korean patients found a larger effect for 90-day mortality (odds ratio 3.58), although that estimate has been challenged on residual-confounding grounds.</w:t>
      </w:r>
      <w:r>
        <w:rPr>
          <w:rFonts w:ascii="Times New Roman" w:hAnsi="Times New Roman"/>
          <w:sz w:val="24"/>
          <w:vertAlign w:val="superscript"/>
        </w:rPr>
        <w:t>5,6</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7</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9</w:t>
      </w:r>
      <w:r>
        <w:rPr>
          <w:rFonts w:ascii="Times New Roman" w:hAnsi="Times New Roman"/>
          <w:b w:val="0"/>
          <w:i w:val="0"/>
          <w:sz w:val="24"/>
        </w:rPr>
        <w:t xml:space="preserve"> A 2025 UK national patient-safety investigation into staff fatigue cited a Medical Defence Union survey of 481 doctors in which 22% reported daily sleep deprivation and 35% said tiredness had impaired their ability to treat patients, with long shifts and overtime among the contributing factors.</w:t>
      </w:r>
      <w:r>
        <w:rPr>
          <w:rFonts w:ascii="Times New Roman" w:hAnsi="Times New Roman"/>
          <w:sz w:val="24"/>
          <w:vertAlign w:val="superscript"/>
        </w:rPr>
        <w:t>10</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11</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12</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13</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14</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15</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operating-room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consume a substantial share of operating time,</w:t>
      </w:r>
      <w:r>
        <w:rPr>
          <w:rFonts w:ascii="Times New Roman" w:hAnsi="Times New Roman"/>
          <w:sz w:val="24"/>
          <w:vertAlign w:val="superscript"/>
        </w:rPr>
        <w:t>18</w:t>
      </w:r>
      <w:r>
        <w:rPr>
          <w:rFonts w:ascii="Times New Roman" w:hAnsi="Times New Roman"/>
          <w:b w:val="0"/>
          <w:i w:val="0"/>
          <w:sz w:val="24"/>
        </w:rPr>
        <w:t xml:space="preserve"> and minor disruptions can escalate into major ones.</w:t>
      </w:r>
      <w:r>
        <w:rPr>
          <w:rFonts w:ascii="Times New Roman" w:hAnsi="Times New Roman"/>
          <w:sz w:val="24"/>
          <w:vertAlign w:val="superscript"/>
        </w:rPr>
        <w:t>19</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programme at the study hospital to improve OR performance. Using administrative data, we address two research questions:</w:t>
      </w:r>
    </w:p>
    <w:p>
      <w:pPr>
        <w:spacing w:after="60" w:before="0" w:line="480" w:lineRule="exact"/>
        <w:jc w:val="left"/>
      </w:pPr>
      <w:r>
        <w:rPr>
          <w:rFonts w:ascii="Times New Roman" w:hAnsi="Times New Roman"/>
          <w:b w:val="0"/>
          <w:i w:val="0"/>
          <w:sz w:val="24"/>
        </w:rPr>
        <w:t>1. How is overtime distributed across rooms and time within one tertiary hospital (RQ1)?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(RQ2)?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we derived observed duration, planning deviation, and start-time deviation following standard perioperative process-time definitions,</w:t>
      </w:r>
      <w:r>
        <w:rPr>
          <w:rFonts w:ascii="Times New Roman" w:hAnsi="Times New Roman"/>
          <w:sz w:val="24"/>
          <w:vertAlign w:val="superscript"/>
        </w:rPr>
        <w:t>1</w:t>
      </w:r>
      <w:r>
        <w:rPr>
          <w:rFonts w:ascii="Times New Roman" w:hAnsi="Times New Roman"/>
          <w:b w:val="0"/>
          <w:i w:val="0"/>
          <w:sz w:val="24"/>
        </w:rPr>
        <w:t xml:space="preserve"> and additionally defined an overtime flag and overtime minutes, a room-swap flag, and a shift label (defined below).</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Room-level overtime was the primary metric because aggregate utilisation measures can misrepresent the performance of individual rooms</w:t>
      </w:r>
      <w:r>
        <w:rPr>
          <w:rFonts w:ascii="Times New Roman" w:hAnsi="Times New Roman"/>
          <w:sz w:val="24"/>
          <w:vertAlign w:val="superscript"/>
        </w:rPr>
        <w:t>16</w:t>
      </w:r>
      <w:r>
        <w:rPr>
          <w:rFonts w:ascii="Times New Roman" w:hAnsi="Times New Roman"/>
          <w:b w:val="0"/>
          <w:i w:val="0"/>
          <w:sz w:val="24"/>
        </w:rPr>
        <w:t xml:space="preserve"> and published OR performance metrics lack standardised definitions.</w:t>
      </w:r>
      <w:r>
        <w:rPr>
          <w:rFonts w:ascii="Times New Roman" w:hAnsi="Times New Roman"/>
          <w:sz w:val="24"/>
          <w:vertAlign w:val="superscript"/>
        </w:rPr>
        <w:t>20</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21,22</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(P95)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r>
        <w:rPr>
          <w:rFonts w:ascii="Times New Roman" w:hAnsi="Times New Roman"/>
          <w:b w:val="0"/>
          <w:i w:val="0"/>
          <w:sz w:val="24"/>
        </w:rPr>
        <w:t xml:space="preserve"> (OT, overtime; rates and means among overtime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(OT, overtime;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(coronary artery bypass grafting,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Overtime n</w:t>
            </w:r>
          </w:p>
        </w:tc>
        <w:tc>
          <w:tcPr>
            <w:tcW w:type="dxa" w:w="1344"/>
          </w:tcPr>
          <w:p>
            <w:pPr>
              <w:spacing w:line="260" w:lineRule="exact" w:after="0"/>
            </w:pPr>
            <w:r/>
            <w:r>
              <w:rPr>
                <w:rFonts w:ascii="Times New Roman" w:hAnsi="Times New Roman"/>
                <w:b/>
                <w:i w:val="0"/>
                <w:sz w:val="22"/>
              </w:rPr>
              <w:t>Overtime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5.0</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i/>
          <w:sz w:val="24"/>
        </w:rPr>
        <w:t>OT, overtime. Mean and P95 overtime in this table are computed across all cases in each row, including cases without overtime; Table 2 reports means among overtime cases only.</w:t>
      </w: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(the gap between one case's room-out and the next case's room-in, akin to turnover time</w:t>
      </w:r>
      <w:r>
        <w:rPr>
          <w:rFonts w:ascii="Times New Roman" w:hAnsi="Times New Roman"/>
          <w:sz w:val="24"/>
          <w:vertAlign w:val="superscript"/>
        </w:rPr>
        <w:t>23</w:t>
      </w:r>
      <w:r>
        <w:rPr>
          <w:rFonts w:ascii="Times New Roman" w:hAnsi="Times New Roman"/>
          <w:b w:val="0"/>
          <w:i w:val="0"/>
          <w:sz w:val="24"/>
        </w:rPr>
        <w:t>) had a median of 8 minutes and a mean of 9.9 minutes.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it is decomposed by room. Zhang, Dunstan and Pandit reached a similar conclusion about NHS England's capped-utilisation target, which discards operating time that runs past the scheduled finish and so misrepresents what individual theatres actually deliver.</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24</w:t>
      </w:r>
      <w:r>
        <w:rPr>
          <w:rFonts w:ascii="Times New Roman" w:hAnsi="Times New Roman"/>
          <w:b w:val="0"/>
          <w:i w:val="0"/>
          <w:sz w:val="24"/>
        </w:rPr>
        <w:t xml:space="preserve"> Quality improvement work needs metrics that are valid at the level where decisions are made.</w:t>
      </w:r>
      <w:r>
        <w:rPr>
          <w:rFonts w:ascii="Times New Roman" w:hAnsi="Times New Roman"/>
          <w:sz w:val="24"/>
          <w:vertAlign w:val="superscript"/>
        </w:rPr>
        <w:t>25</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showed that tardiness per case grows through the day as the scheduled time preceding each case accumulates,</w:t>
      </w:r>
      <w:r>
        <w:rPr>
          <w:rFonts w:ascii="Times New Roman" w:hAnsi="Times New Roman"/>
          <w:sz w:val="24"/>
          <w:vertAlign w:val="superscript"/>
        </w:rPr>
        <w:t>26</w:t>
      </w:r>
      <w:r>
        <w:rPr>
          <w:rFonts w:ascii="Times New Roman" w:hAnsi="Times New Roman"/>
          <w:b w:val="0"/>
          <w:i w:val="0"/>
          <w:sz w:val="24"/>
        </w:rPr>
        <w:t xml:space="preserve"> and Fügener et al. documented systematic biases in surgeons' duration estimates under uncertainty.</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28</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29</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30</w:t>
      </w:r>
      <w:r>
        <w:rPr>
          <w:rFonts w:ascii="Times New Roman" w:hAnsi="Times New Roman"/>
          <w:b w:val="0"/>
          <w:i w:val="0"/>
          <w:sz w:val="24"/>
        </w:rPr>
        <w:t xml:space="preserve"> We do not conclude that FCOTS is unimportant; it remains a reasonable marker of scheduling discipline.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belongs in the schedule itself: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2,4–7,9–15</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4</w:t>
      </w:r>
      <w:r>
        <w:rPr>
          <w:rFonts w:ascii="Times New Roman" w:hAnsi="Times New Roman"/>
          <w:b w:val="0"/>
          <w:i w:val="0"/>
          <w:sz w:val="24"/>
        </w:rPr>
        <w:t xml:space="preserve"> to 3.58</w:t>
      </w:r>
      <w:r>
        <w:rPr>
          <w:rFonts w:ascii="Times New Roman" w:hAnsi="Times New Roman"/>
          <w:sz w:val="24"/>
          <w:vertAlign w:val="superscript"/>
        </w:rPr>
        <w:t>5</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6</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was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Bauer M, Auhuber TC, Kraus R, et al. The German perioperative procedural time glossary: a joint recommendation by the BDA, BDC, VOPM, VOPMÖ, ÖGARI and SFOPM (2020 edition). </w:t>
      </w:r>
      <w:r>
        <w:rPr>
          <w:rFonts w:ascii="Times New Roman" w:hAnsi="Times New Roman"/>
          <w:i/>
          <w:sz w:val="24"/>
        </w:rPr>
        <w:t>Anästh Intensivmed</w:t>
      </w:r>
      <w:r>
        <w:rPr>
          <w:rFonts w:ascii="Times New Roman" w:hAnsi="Times New Roman"/>
          <w:b w:val="0"/>
          <w:i w:val="0"/>
          <w:sz w:val="24"/>
        </w:rPr>
        <w:t xml:space="preserve"> 2020;61:516-31. DOI: 10.19224/ai2020.516.</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2010;110(6):1698-710.</w:t>
      </w:r>
    </w:p>
    <w:p>
      <w:pPr>
        <w:spacing w:after="60" w:before="0" w:line="480" w:lineRule="exact"/>
        <w:jc w:val="left"/>
      </w:pPr>
      <w:r>
        <w:rPr>
          <w:rFonts w:ascii="Times New Roman" w:hAnsi="Times New Roman"/>
          <w:b w:val="0"/>
          <w:i w:val="0"/>
          <w:sz w:val="24"/>
        </w:rPr>
        <w:t xml:space="preserve">4.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5.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2025;80(6):645-51. DOI: 10.1111/anae.16559.</w:t>
      </w:r>
    </w:p>
    <w:p>
      <w:pPr>
        <w:spacing w:after="60" w:before="0" w:line="480" w:lineRule="exact"/>
        <w:jc w:val="left"/>
      </w:pPr>
      <w:r>
        <w:rPr>
          <w:rFonts w:ascii="Times New Roman" w:hAnsi="Times New Roman"/>
          <w:b w:val="0"/>
          <w:i w:val="0"/>
          <w:sz w:val="24"/>
        </w:rPr>
        <w:t xml:space="preserve">6. Sakurai K, Takeda C.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2025;80(5):596-7. DOI: 10.1111/anae.16591.</w:t>
      </w:r>
    </w:p>
    <w:p>
      <w:pPr>
        <w:spacing w:after="60" w:before="0" w:line="480" w:lineRule="exact"/>
        <w:jc w:val="left"/>
      </w:pPr>
      <w:r>
        <w:rPr>
          <w:rFonts w:ascii="Times New Roman" w:hAnsi="Times New Roman"/>
          <w:b w:val="0"/>
          <w:i w:val="0"/>
          <w:sz w:val="24"/>
        </w:rPr>
        <w:t xml:space="preserve">7.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2021;30(8):678-88.</w:t>
      </w:r>
    </w:p>
    <w:p>
      <w:pPr>
        <w:spacing w:after="60" w:before="0" w:line="480" w:lineRule="exact"/>
        <w:jc w:val="left"/>
      </w:pPr>
      <w:r>
        <w:rPr>
          <w:rFonts w:ascii="Times New Roman" w:hAnsi="Times New Roman"/>
          <w:b w:val="0"/>
          <w:i w:val="0"/>
          <w:sz w:val="24"/>
        </w:rPr>
        <w:t xml:space="preserve">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9.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10.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11. Pittman P, Tiunn HL, Luo Q,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2025;8(4):e252875. PMID: 40172888.</w:t>
      </w:r>
    </w:p>
    <w:p>
      <w:pPr>
        <w:spacing w:after="60" w:before="0" w:line="480" w:lineRule="exact"/>
        <w:jc w:val="left"/>
      </w:pPr>
      <w:r>
        <w:rPr>
          <w:rFonts w:ascii="Times New Roman" w:hAnsi="Times New Roman"/>
          <w:b w:val="0"/>
          <w:i w:val="0"/>
          <w:sz w:val="24"/>
        </w:rPr>
        <w:t xml:space="preserve">12.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13.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14.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15.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2020;29(12):1033-45.</w:t>
      </w:r>
    </w:p>
    <w:p>
      <w:pPr>
        <w:spacing w:after="60" w:before="0" w:line="480" w:lineRule="exact"/>
        <w:jc w:val="left"/>
      </w:pPr>
      <w:r>
        <w:rPr>
          <w:rFonts w:ascii="Times New Roman" w:hAnsi="Times New Roman"/>
          <w:b w:val="0"/>
          <w:i w:val="0"/>
          <w:sz w:val="24"/>
        </w:rPr>
        <w:t xml:space="preserve">19.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20. Schouten AM,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21.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22. Eijkemans MJ, van Houdenhoven M, Nguyen T, et al. Predicting the unpredictable: a new prediction model for operating room times using individual characteristics and the surgeon's estimate.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23. MacMillan L, Madura GM, Elliot M,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2025;181:109263. PMID: 40054053.</w:t>
      </w:r>
    </w:p>
    <w:p>
      <w:pPr>
        <w:spacing w:after="60" w:before="0" w:line="480" w:lineRule="exact"/>
        <w:jc w:val="left"/>
      </w:pPr>
      <w:r>
        <w:rPr>
          <w:rFonts w:ascii="Times New Roman" w:hAnsi="Times New Roman"/>
          <w:b w:val="0"/>
          <w:i w:val="0"/>
          <w:sz w:val="24"/>
        </w:rPr>
        <w:t xml:space="preserve">24.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25.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2009;108(6):1889-901.</w:t>
      </w:r>
    </w:p>
    <w:p>
      <w:pPr>
        <w:spacing w:after="60" w:before="0" w:line="480" w:lineRule="exact"/>
        <w:jc w:val="left"/>
      </w:pPr>
      <w:r>
        <w:rPr>
          <w:rFonts w:ascii="Times New Roman" w:hAnsi="Times New Roman"/>
          <w:b w:val="0"/>
          <w:i w:val="0"/>
          <w:sz w:val="24"/>
        </w:rPr>
        <w:t xml:space="preserve">27. Fügener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after="60" w:before="0" w:line="480" w:lineRule="exact"/>
        <w:jc w:val="left"/>
      </w:pPr>
      <w:r>
        <w:rPr>
          <w:rFonts w:ascii="Times New Roman" w:hAnsi="Times New Roman"/>
          <w:b w:val="0"/>
          <w:i w:val="0"/>
          <w:sz w:val="24"/>
        </w:rPr>
        <w:t xml:space="preserve">29.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30.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