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reported that 22% of surveyed doctors experienced daily sleep deprivation and 35% said tiredness had impaired their clinical judgement,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 9.7% hospital-wide rate hides a near ten-fold spread, and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overlap occurred on more than two-thirds of observation days, so dedicating additional capacity or buffering the elective programme against predictable disruption is more realistic than treating each urgent arrival as an exception. Start-time compliance, while reasonable to pursue on other grounds, should not be expected to reduce overtime: in this dataset it was unrelated to where overtime accumulated.</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