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Maxim Riebus, Haroon Tharwat, Niels Martin, Ben Van Bylen, and Dieter Mesotten</w:t>
      </w:r>
    </w:p>
    <w:p>
      <w:pPr>
        <w:spacing w:after="120" w:before="120" w:line="480" w:lineRule="exact"/>
        <w:jc w:val="left"/>
      </w:pPr>
      <w:r>
        <w:rPr>
          <w:rFonts w:ascii="Times New Roman" w:hAnsi="Times New Roman"/>
          <w:b w:val="0"/>
          <w:i/>
          <w:sz w:val="24"/>
        </w:rPr>
        <w:t>[Affiliations to be completed]</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~2,900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elevated patient mortality, staff fatigue, and disproportionate costs. Most studies report overtime as a hospital-wide aggregate, which can obscure where the problem concentrates and misdirect quality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characterize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of administrative operating-room data at a 24/7 tertiary hospital in Belgium operating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 cases disrupted the elective programme on 68.8% of observation days, associated with a median difference of approximately 30 minutes in elective start times. First-case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first-case punctuality alone.</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elevated patient mortality, staff fatigue, and burnout, and imposes disproportionate financial costs.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single-center retrospective analysis of 79,352 surgical cases, overtime concentrated in a small number of rooms, with a nearly ten-fold spread across the same hospital (3.5% to 32.9%). Case-mix complexity and unplanned urgent cases disrupting the elective programme were the factors most visibly associated with room-level overtime; first-case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align with planned schedules.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This is the exposure that a separate body of work studies under the term after-hours surgery, which is defined by the clock time of the operation rather than by a staffing boundary. The two are not identical, but overtime is one of the routes by which scheduled daytime work ends up being performed after hours, so the harms reported for after-hours surgery are relevant to it. 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staffed by different nursing personnel from those who began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is concentrated in specific rooms within a single hospital, and which operational factors are associated with it, have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Belgian tertiary hospital to improve OR performance. We analyze scheduled-versus-observed performance from administrative data and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first-case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surgical specialties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(elective versus non-elective),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first-case start-time deviation per room, inter-case idle time, and room swaps. We also computed Spearman rank correlations across the 18 rooms between room-level overtime rate and two candidate factors: first-case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and included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or emergency surgery. The year-on-year trend showed gradual improvement: 10.0% in 2022, 10.0% in 2023, 9.7% in 2024, and 8.6% in the partial 2025 data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therefore spanned nearly an order of magnitude across rooms in the same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of similar size and similar frequency, so the planning system showed no consistent bias: bookings were not systematically too tight or too generous, and the schedule could not be corrected by padding every case by a fixed amount. The problem was the spread around these averages. Two cases booked for the same duration could finish well apart, and that variability, rather than a tendency to under-book, is what pushes a list past its boundary.</w:t>
      </w:r>
    </w:p>
    <w:p>
      <w:pPr>
        <w:spacing w:after="120" w:before="0" w:line="480" w:lineRule="exact"/>
        <w:jc w:val="left"/>
      </w:pPr>
      <w:r>
        <w:rPr>
          <w:rFonts w:ascii="Times New Roman" w:hAnsi="Times New Roman"/>
          <w:b w:val="0"/>
          <w:i w:val="0"/>
          <w:sz w:val="24"/>
        </w:rPr>
        <w:t>We measured the spread with the coefficient of variation (CV), the standard deviation of duration divided by its mean, which puts cases of different lengths on a comparable scale. Observed-duration CV was highest for short cases (0.61 for under 30 minutes), lowest for mid-length cases (0.35 to 0.36 for 61 to 180 minutes), and intermediate for the longest cases (0.42 for over 180 minutes); short cases are proportionally the most variable because a few extra minutes is a large fraction of a brief booking. The CV of the planning error itself was higher still, reaching 1.86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First-case punctuality.</w:t>
      </w:r>
      <w:r>
        <w:rPr>
          <w:rFonts w:ascii="Times New Roman" w:hAnsi="Times New Roman"/>
          <w:b w:val="0"/>
          <w:i w:val="0"/>
          <w:sz w:val="24"/>
        </w:rPr>
        <w:t xml:space="preserve"> Across all 18 rooms, late-start rate showed no significant correlation with room-level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First-case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elevated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so protecting the elective program may require additional scheduling buffers or capacity reallocation rather than reactive rescheduling alone.</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is operationally comparable to the exposure that other studies have linked to staff fatigue, elevated after-hours mortality, and increased complication risk (references 2–13). Whether these harms are present in this cohort cannot be determined from administrative data alone; direct measurement of patient and staff outcomes associated with room-level overtime remains an important next step for future research.</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it is unknown whether the concentration pattern holds across hospitals with different staffing models.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strongly associated factors. First-case punctuality and inter-case idle time were not associated with room-level overtime.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ordered ascending. Panel B: mean overtime duration per room (minutes), with the hospital-wide average marked for reference.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