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single-centre study</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match what is planned.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in relation to the staffing window: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staffing change at each boundary is the operational event that gives overtime its meaning.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care quality and higher patient-safety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At the study hospital, 25 rooms are staffed during the 08:00 to 16:30 day shift; staffing then drops to 8 rooms, then 4, then a single overnight room. A case running past the boundary competes for a diminishing set of staffed rooms, often covered by different personnel.</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one hospital,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programme at a Belgian tertiary hospital to improve OR performance. Phase 1 characterises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 xml:space="preserve">1. </w:t>
      </w:r>
      <w:r>
        <w:rPr>
          <w:rFonts w:ascii="Times New Roman" w:hAnsi="Times New Roman"/>
          <w:b/>
          <w:sz w:val="24"/>
        </w:rPr>
        <w:t>How is overtime distributed across rooms and time within one tertiary hospital?</w:t>
      </w:r>
      <w:r>
        <w:rPr>
          <w:rFonts w:ascii="Times New Roman" w:hAnsi="Times New Roman"/>
          <w:b w:val="0"/>
          <w:i w:val="0"/>
          <w:sz w:val="24"/>
        </w:rPr>
        <w:t xml:space="preserve"> This examines whether overtime is a diffuse hospital-wide problem or concentrates in specific rooms, since the appropriate intervention point depends on that distribution.</w:t>
      </w:r>
    </w:p>
    <w:p>
      <w:pPr>
        <w:spacing w:after="60" w:before="0" w:line="480" w:lineRule="exact"/>
        <w:jc w:val="left"/>
      </w:pPr>
      <w:r>
        <w:rPr>
          <w:rFonts w:ascii="Times New Roman" w:hAnsi="Times New Roman"/>
          <w:b w:val="0"/>
          <w:i w:val="0"/>
          <w:sz w:val="24"/>
        </w:rPr>
        <w:t xml:space="preserve">2. </w:t>
      </w:r>
      <w:r>
        <w:rPr>
          <w:rFonts w:ascii="Times New Roman" w:hAnsi="Times New Roman"/>
          <w:b/>
          <w:sz w:val="24"/>
        </w:rPr>
        <w:t>Which operational factors — duration overruns, shift displacement, urgent-elective interaction, and first-case punctuality — are associated with overtime?</w:t>
      </w:r>
      <w:r>
        <w:rPr>
          <w:rFonts w:ascii="Times New Roman" w:hAnsi="Times New Roman"/>
          <w:b w:val="0"/>
          <w:i w:val="0"/>
          <w:sz w:val="24"/>
        </w:rPr>
        <w:t xml:space="preserve"> This tests which mechanisms identified in the literature are visible in our data, to inform where scheduling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Nursing staffing runs 2 to 3 per room during the day shift, declining to 8 rooms at 16:30, 4 at 17:30, and 1 overnight.</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utilisation,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originally planned), urgency mix and timing, urgent-elective interaction (defined and reported in Results), first-case start-time deviation per room, inter-case idle time, and room swaps.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but ran 22.3 minutes shorter than planned, so their own room-out times rarely fell deep into overtime. Their relevance for overtime is upstream: a case that begins six hours late was pushed there by what happened earlier in the day, and by definition occupies room time during a period when fewer rooms remain staffed. Whether displacement contributes to overtime in those later shifts or simply reflects accumulated delays from earlier in the day cannot be resolved from these data.</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past the shift boundary at more than twice the elective rate (18.2% versus 8.3%, Table 2),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overlap. Panel A: volume, after-hours rate, mean overtime, and P95 overtime by urgency. Panel B: overlap frequency (858/1,247 days = 68.8%), mean start-delay effect (+30 min), and OR11 burden.]</w:t>
      </w: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than non-swapped (14.8% versus 9.7%). Because the data cannot tell us whether the swap caused the overtime or the anticipated overrun prompted the swap, we report the association without interpreting its direction.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lowest late-start rate (46.1% of first cases late) yet the highest overtime (32.9% of cases past the shift boundary). OR14 had a substantially higher late-start rate (78.7%) yet the lowest overtime (3.5%), and OR11 had the highest late-start rate (82.4%) with mid-pack overtime (11.7%). This is consistent with Pandit et al., who reported R-squared values of 0.04 to 0.08 between start and finish times across more than 7,000 theatre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 We discuss each in turn against the existing literature, draw out the implications for quality improvement, and end with the study's limitations.</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The within-hospital spread was wider than the spread across the hospital network as a whole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 complex cardiac and oncology cases — clustered in the rooms with the highest overtime. This concentration suggests that case-mix complexity, rather than scheduling inefficiency alone, accounts for much of the room-level variation. Wachtel and Dexter described, in a large operational dataset, how tardiness grows as cumulative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The 5.2% of cases displaced into a later shift, with a mean start delay of just over six hours, fits this cumulative-delay pattern: the cases themselves run on time or shorter, yet they land in the period when staffing has stepped down.</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programme from this disruption — through dedicated urgent rooms or scheduling buffers — may be more effective than reactive rescheduling.</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the room with the lowest late-start rate (OR10, 46.1%) had the highest overtime (32.9%), while a room with one of the highest late-start rates (OR14, 78.7%) had the lowest overtime (3.5%). Pandit et al. reported a similar disconnect across more than 7,000 theatre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 it remains a reasonable discipline marker — but in this dataset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Operational implication. Room-level monitoring should sit ahead of hospital-wide overtime targets, and scheduling should treat urgent-case flow as a routine planning input rather than as an exception.</w:t>
      </w:r>
    </w:p>
    <w:p>
      <w:pPr>
        <w:spacing w:after="120" w:before="0" w:line="480" w:lineRule="exact"/>
        <w:jc w:val="left"/>
      </w:pPr>
      <w:r>
        <w:rPr>
          <w:rFonts w:ascii="Times New Roman" w:hAnsi="Times New Roman"/>
          <w:b w:val="0"/>
          <w:i w:val="0"/>
          <w:sz w:val="24"/>
        </w:rPr>
        <w:t>Clinical implication. The overtime we document is the same exposure that other studies have linked to staff fatigue and to elevated after-hours mortality and complication risk (Introduction; references 2-13). Whether those associations hold in this cohort is the question Phase 2 of this programme will address by linking the operational patterns we describe to outcome data.</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programme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