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 9.7% hospital-wide rate hides a near ten-fold spread, and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overlap occurred on more than two-thirds of observation days, so dedicating additional capacity or buffering the elective programme against predictable disruption is more realistic than treating each urgent arrival as an exception. Start-time compliance, while reasonable to pursue on other grounds, should not be expected to reduce overtime: in this dataset it was unrelated to where overtime accumulated.</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