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retrospective single-center study</w:t>
      </w:r>
    </w:p>
    <w:p>
      <w:pPr>
        <w:spacing w:after="120" w:before="0" w:line="480" w:lineRule="exact"/>
        <w:jc w:val="left"/>
      </w:pPr>
      <w:r>
        <w:rPr>
          <w:rFonts w:ascii="Times New Roman" w:hAnsi="Times New Roman"/>
          <w:b w:val="0"/>
          <w:i w:val="0"/>
          <w:sz w:val="24"/>
        </w:rPr>
        <w:t>Haroon Tharwat, Maxim Riebus, [Ben surname], [Dieter surname], Niels Martin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~3,400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characterize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w:t>
      </w:r>
      <w:r>
        <w:rPr>
          <w:rFonts w:ascii="Times New Roman" w:hAnsi="Times New Roman"/>
          <w:sz w:val="24"/>
        </w:rPr>
        <w:t xml:space="preserve"> Retrospective observational study of administrative operating-room data.</w:t>
      </w:r>
    </w:p>
    <w:p>
      <w:pPr>
        <w:spacing w:after="60" w:line="480" w:lineRule="exact"/>
        <w:jc w:val="left"/>
      </w:pPr>
      <w:r>
        <w:rPr>
          <w:rFonts w:ascii="Times New Roman" w:hAnsi="Times New Roman"/>
          <w:b/>
          <w:sz w:val="24"/>
        </w:rPr>
        <w:t>Setting.</w:t>
      </w:r>
      <w:r>
        <w:rPr>
          <w:rFonts w:ascii="Times New Roman" w:hAnsi="Times New Roman"/>
          <w:sz w:val="24"/>
        </w:rPr>
        <w:t xml:space="preserve">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and urgent-elective overlap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Urgent-elective overlap in the same room occurred on 68.8% of observation days and added roughly 30 minutes to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urgent-elective overlap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match what is planned.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in relation to the staffing window: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staffing change at each boundary is the operational event that gives overtime its meaning. Overutilized time is approximately twice as expensive as underutilized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multicenter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care quality and higher patient-safety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often covered by different personnel from those who started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one hospital,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multi-phase program at a Belgian tertiary hospital to improve OR performance. Phase 1 characterizes scheduled-versus-observed performance from administrative data. Phase 2 will link the operational patterns to patient outcomes. Phase 3 will build predictive scheduling tools. In this Phase 1 analysis, we address two questions:</w:t>
      </w:r>
    </w:p>
    <w:p>
      <w:pPr>
        <w:spacing w:after="60" w:before="0" w:line="480" w:lineRule="exact"/>
        <w:jc w:val="left"/>
      </w:pPr>
      <w:r>
        <w:rPr>
          <w:rFonts w:ascii="Times New Roman" w:hAnsi="Times New Roman"/>
          <w:b w:val="0"/>
          <w:i w:val="0"/>
          <w:sz w:val="24"/>
        </w:rPr>
        <w:t xml:space="preserve">1. </w:t>
      </w:r>
      <w:r>
        <w:rPr>
          <w:rFonts w:ascii="Times New Roman" w:hAnsi="Times New Roman"/>
          <w:b/>
          <w:sz w:val="24"/>
        </w:rPr>
        <w:t>How is overtime distributed across rooms and time within one tertiary hospital?</w:t>
      </w:r>
      <w:r>
        <w:rPr>
          <w:rFonts w:ascii="Times New Roman" w:hAnsi="Times New Roman"/>
          <w:b w:val="0"/>
          <w:i w:val="0"/>
          <w:sz w:val="24"/>
        </w:rPr>
        <w:t xml:space="preserve"> This examines whether overtime is a diffuse hospital-wide problem or concentrates in specific rooms, since the appropriate intervention point depends on that distribution.</w:t>
      </w:r>
    </w:p>
    <w:p>
      <w:pPr>
        <w:spacing w:after="60" w:before="0" w:line="480" w:lineRule="exact"/>
        <w:jc w:val="left"/>
      </w:pPr>
      <w:r>
        <w:rPr>
          <w:rFonts w:ascii="Times New Roman" w:hAnsi="Times New Roman"/>
          <w:b w:val="0"/>
          <w:i w:val="0"/>
          <w:sz w:val="24"/>
        </w:rPr>
        <w:t xml:space="preserve">2. </w:t>
      </w:r>
      <w:r>
        <w:rPr>
          <w:rFonts w:ascii="Times New Roman" w:hAnsi="Times New Roman"/>
          <w:b/>
          <w:sz w:val="24"/>
        </w:rPr>
        <w:t>Which operational factors (duration overruns, urgent-elective interaction, and first-case punctuality) are associated with overtime?</w:t>
      </w:r>
      <w:r>
        <w:rPr>
          <w:rFonts w:ascii="Times New Roman" w:hAnsi="Times New Roman"/>
          <w:b w:val="0"/>
          <w:i w:val="0"/>
          <w:sz w:val="24"/>
        </w:rPr>
        <w:t xml:space="preserve"> This tests which candidate factors identified in the literature are visible in our data, to inform where scheduling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center in Belgium performing more than 22,000 surgical procedures per year. It operates 18 surgical operating rooms and 7 interventional operating rooms. The surgical staff includes 195 surgeons and 207 anesthesiologists (including trainees and fellows), covering all surgery except congenital cardiac and organ transplantation. Nursing staffing runs 2 to 3 per room during the 08:00 to 16:30 day shift; at 16:30 the number of staffed rooms drops to 8, at 17:30 to 4, and overnight a single room remains staffed.</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60,895 unique patients, and 1,276 distinct procedure types. The admission mix was 42.3% ambulatory and 57.7% inpatient. Room-in and room-out times are the only time markers confirmed as reliable by the hospital's clinical team; all timing analyses use these two time points. Following the glossary of Bauer et al.,</w:t>
      </w:r>
      <w:r>
        <w:rPr>
          <w:rFonts w:ascii="Times New Roman" w:hAnsi="Times New Roman"/>
          <w:sz w:val="24"/>
          <w:vertAlign w:val="superscript"/>
        </w:rPr>
        <w:t>18</w:t>
      </w:r>
      <w:r>
        <w:rPr>
          <w:rFonts w:ascii="Times New Roman" w:hAnsi="Times New Roman"/>
          <w:b w:val="0"/>
          <w:i w:val="0"/>
          <w:sz w:val="24"/>
        </w:rPr>
        <w:t xml:space="preserve"> the extracted variables include planned and observed duration, planning deviation, start-time deviation, overtime flag and overtime minutes, room-swap flag, urgency (elective versus non-elective),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staffing change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utilization,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first-case start-time deviation per room, inter-case idle time, and room swaps. Intermediate findings were reviewed with the clinical team and used to refine variable definitions and exclusions. The study is reported following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anesthesiologists performing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volume is almost entirely non-elective. The year-on-year trend showed gradual improvement: 10.0% in 2022, 10.0% in 2023, 9.7% in 2024, and 8.6% in the partial 2025 data.</w:t>
      </w:r>
    </w:p>
    <w:p>
      <w:pPr>
        <w:spacing w:before="240" w:after="80" w:line="280" w:lineRule="exact"/>
        <w:jc w:val="left"/>
      </w:pPr>
      <w:r>
        <w:rPr>
          <w:rFonts w:ascii="Times New Roman" w:hAnsi="Times New Roman"/>
          <w:b/>
          <w:sz w:val="22"/>
        </w:rPr>
        <w:t>Table 1A.</w:t>
      </w:r>
      <w:r>
        <w:rPr>
          <w:rFonts w:ascii="Times New Roman" w:hAnsi="Times New Roman"/>
          <w:sz w:val="22"/>
        </w:rPr>
        <w:t xml:space="preserve"> Overtime by weekday.</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171b5"/>
          </w:tcPr>
          <w:p>
            <w:pPr>
              <w:jc w:val="center"/>
            </w:pPr>
            <w:r/>
            <w:r>
              <w:rPr>
                <w:rFonts w:ascii="Times New Roman" w:hAnsi="Times New Roman"/>
                <w:b/>
                <w:color w:val="FFFFFF"/>
                <w:sz w:val="20"/>
              </w:rPr>
              <w:t>Day</w:t>
            </w:r>
          </w:p>
        </w:tc>
        <w:tc>
          <w:tcPr>
            <w:tcW w:type="dxa" w:w="1881"/>
            <w:shd w:val="clear" w:color="auto" w:fill="2171b5"/>
          </w:tcPr>
          <w:p>
            <w:pPr>
              <w:jc w:val="center"/>
            </w:pPr>
            <w:r/>
            <w:r>
              <w:rPr>
                <w:rFonts w:ascii="Times New Roman" w:hAnsi="Times New Roman"/>
                <w:b/>
                <w:color w:val="FFFFFF"/>
                <w:sz w:val="20"/>
              </w:rPr>
              <w:t>n cases</w:t>
            </w:r>
          </w:p>
        </w:tc>
        <w:tc>
          <w:tcPr>
            <w:tcW w:type="dxa" w:w="1881"/>
            <w:shd w:val="clear" w:color="auto" w:fill="2171b5"/>
          </w:tcPr>
          <w:p>
            <w:pPr>
              <w:jc w:val="center"/>
            </w:pPr>
            <w:r/>
            <w:r>
              <w:rPr>
                <w:rFonts w:ascii="Times New Roman" w:hAnsi="Times New Roman"/>
                <w:b/>
                <w:color w:val="FFFFFF"/>
                <w:sz w:val="20"/>
              </w:rPr>
              <w:t>n overtime</w:t>
            </w:r>
          </w:p>
        </w:tc>
        <w:tc>
          <w:tcPr>
            <w:tcW w:type="dxa" w:w="1881"/>
            <w:shd w:val="clear" w:color="auto" w:fill="2171b5"/>
          </w:tcPr>
          <w:p>
            <w:pPr>
              <w:jc w:val="center"/>
            </w:pPr>
            <w:r/>
            <w:r>
              <w:rPr>
                <w:rFonts w:ascii="Times New Roman" w:hAnsi="Times New Roman"/>
                <w:b/>
                <w:color w:val="FFFFFF"/>
                <w:sz w:val="20"/>
              </w:rPr>
              <w:t>OT rate (%)</w:t>
            </w:r>
          </w:p>
        </w:tc>
        <w:tc>
          <w:tcPr>
            <w:tcW w:type="dxa" w:w="1881"/>
            <w:shd w:val="clear" w:color="auto" w:fill="2171b5"/>
          </w:tcPr>
          <w:p>
            <w:pPr>
              <w:jc w:val="center"/>
            </w:pPr>
            <w:r/>
            <w:r>
              <w:rPr>
                <w:rFonts w:ascii="Times New Roman" w:hAnsi="Times New Roman"/>
                <w:b/>
                <w:color w:val="FFFFFF"/>
                <w:sz w:val="20"/>
              </w:rPr>
              <w:t>Mean OT (min)</w:t>
            </w:r>
          </w:p>
        </w:tc>
      </w:tr>
      <w:tr>
        <w:tc>
          <w:tcPr>
            <w:tcW w:type="dxa" w:w="1881"/>
          </w:tcPr>
          <w:p>
            <w:pPr>
              <w:jc w:val="center"/>
            </w:pPr>
            <w:r/>
            <w:r>
              <w:rPr>
                <w:rFonts w:ascii="Times New Roman" w:hAnsi="Times New Roman"/>
                <w:b w:val="0"/>
                <w:sz w:val="20"/>
              </w:rPr>
              <w:t>Monday</w:t>
            </w:r>
          </w:p>
        </w:tc>
        <w:tc>
          <w:tcPr>
            <w:tcW w:type="dxa" w:w="1881"/>
          </w:tcPr>
          <w:p>
            <w:pPr>
              <w:jc w:val="center"/>
            </w:pPr>
            <w:r/>
            <w:r>
              <w:rPr>
                <w:rFonts w:ascii="Times New Roman" w:hAnsi="Times New Roman"/>
                <w:b w:val="0"/>
                <w:sz w:val="20"/>
              </w:rPr>
              <w:t>14,232</w:t>
            </w:r>
          </w:p>
        </w:tc>
        <w:tc>
          <w:tcPr>
            <w:tcW w:type="dxa" w:w="1881"/>
          </w:tcPr>
          <w:p>
            <w:pPr>
              <w:jc w:val="center"/>
            </w:pPr>
            <w:r/>
            <w:r>
              <w:rPr>
                <w:rFonts w:ascii="Times New Roman" w:hAnsi="Times New Roman"/>
                <w:b w:val="0"/>
                <w:sz w:val="20"/>
              </w:rPr>
              <w:t>1,395</w:t>
            </w:r>
          </w:p>
        </w:tc>
        <w:tc>
          <w:tcPr>
            <w:tcW w:type="dxa" w:w="1881"/>
          </w:tcPr>
          <w:p>
            <w:pPr>
              <w:jc w:val="center"/>
            </w:pPr>
            <w:r/>
            <w:r>
              <w:rPr>
                <w:rFonts w:ascii="Times New Roman" w:hAnsi="Times New Roman"/>
                <w:b w:val="0"/>
                <w:sz w:val="20"/>
              </w:rPr>
              <w:t>9.8</w:t>
            </w:r>
          </w:p>
        </w:tc>
        <w:tc>
          <w:tcPr>
            <w:tcW w:type="dxa" w:w="1881"/>
          </w:tcPr>
          <w:p>
            <w:pPr>
              <w:jc w:val="center"/>
            </w:pPr>
            <w:r/>
            <w:r>
              <w:rPr>
                <w:rFonts w:ascii="Times New Roman" w:hAnsi="Times New Roman"/>
                <w:b w:val="0"/>
                <w:sz w:val="20"/>
              </w:rPr>
              <w:t>58.5</w:t>
            </w:r>
          </w:p>
        </w:tc>
      </w:tr>
      <w:tr>
        <w:tc>
          <w:tcPr>
            <w:tcW w:type="dxa" w:w="1881"/>
          </w:tcPr>
          <w:p>
            <w:pPr>
              <w:jc w:val="center"/>
            </w:pPr>
            <w:r/>
            <w:r>
              <w:rPr>
                <w:rFonts w:ascii="Times New Roman" w:hAnsi="Times New Roman"/>
                <w:b w:val="0"/>
                <w:sz w:val="20"/>
              </w:rPr>
              <w:t>Tuesday</w:t>
            </w:r>
          </w:p>
        </w:tc>
        <w:tc>
          <w:tcPr>
            <w:tcW w:type="dxa" w:w="1881"/>
          </w:tcPr>
          <w:p>
            <w:pPr>
              <w:jc w:val="center"/>
            </w:pPr>
            <w:r/>
            <w:r>
              <w:rPr>
                <w:rFonts w:ascii="Times New Roman" w:hAnsi="Times New Roman"/>
                <w:b w:val="0"/>
                <w:sz w:val="20"/>
              </w:rPr>
              <w:t>14,750</w:t>
            </w:r>
          </w:p>
        </w:tc>
        <w:tc>
          <w:tcPr>
            <w:tcW w:type="dxa" w:w="1881"/>
          </w:tcPr>
          <w:p>
            <w:pPr>
              <w:jc w:val="center"/>
            </w:pPr>
            <w:r/>
            <w:r>
              <w:rPr>
                <w:rFonts w:ascii="Times New Roman" w:hAnsi="Times New Roman"/>
                <w:b w:val="0"/>
                <w:sz w:val="20"/>
              </w:rPr>
              <w:t>1,416</w:t>
            </w:r>
          </w:p>
        </w:tc>
        <w:tc>
          <w:tcPr>
            <w:tcW w:type="dxa" w:w="1881"/>
          </w:tcPr>
          <w:p>
            <w:pPr>
              <w:jc w:val="center"/>
            </w:pPr>
            <w:r/>
            <w:r>
              <w:rPr>
                <w:rFonts w:ascii="Times New Roman" w:hAnsi="Times New Roman"/>
                <w:b w:val="0"/>
                <w:sz w:val="20"/>
              </w:rPr>
              <w:t>9.6</w:t>
            </w:r>
          </w:p>
        </w:tc>
        <w:tc>
          <w:tcPr>
            <w:tcW w:type="dxa" w:w="1881"/>
          </w:tcPr>
          <w:p>
            <w:pPr>
              <w:jc w:val="center"/>
            </w:pPr>
            <w:r/>
            <w:r>
              <w:rPr>
                <w:rFonts w:ascii="Times New Roman" w:hAnsi="Times New Roman"/>
                <w:b w:val="0"/>
                <w:sz w:val="20"/>
              </w:rPr>
              <w:t>60.1</w:t>
            </w:r>
          </w:p>
        </w:tc>
      </w:tr>
      <w:tr>
        <w:tc>
          <w:tcPr>
            <w:tcW w:type="dxa" w:w="1881"/>
          </w:tcPr>
          <w:p>
            <w:pPr>
              <w:jc w:val="center"/>
            </w:pPr>
            <w:r/>
            <w:r>
              <w:rPr>
                <w:rFonts w:ascii="Times New Roman" w:hAnsi="Times New Roman"/>
                <w:b w:val="0"/>
                <w:sz w:val="20"/>
              </w:rPr>
              <w:t>Wednesday</w:t>
            </w:r>
          </w:p>
        </w:tc>
        <w:tc>
          <w:tcPr>
            <w:tcW w:type="dxa" w:w="1881"/>
          </w:tcPr>
          <w:p>
            <w:pPr>
              <w:jc w:val="center"/>
            </w:pPr>
            <w:r/>
            <w:r>
              <w:rPr>
                <w:rFonts w:ascii="Times New Roman" w:hAnsi="Times New Roman"/>
                <w:b w:val="0"/>
                <w:sz w:val="20"/>
              </w:rPr>
              <w:t>15,814</w:t>
            </w:r>
          </w:p>
        </w:tc>
        <w:tc>
          <w:tcPr>
            <w:tcW w:type="dxa" w:w="1881"/>
          </w:tcPr>
          <w:p>
            <w:pPr>
              <w:jc w:val="center"/>
            </w:pPr>
            <w:r/>
            <w:r>
              <w:rPr>
                <w:rFonts w:ascii="Times New Roman" w:hAnsi="Times New Roman"/>
                <w:b w:val="0"/>
                <w:sz w:val="20"/>
              </w:rPr>
              <w:t>1,502</w:t>
            </w:r>
          </w:p>
        </w:tc>
        <w:tc>
          <w:tcPr>
            <w:tcW w:type="dxa" w:w="1881"/>
          </w:tcPr>
          <w:p>
            <w:pPr>
              <w:jc w:val="center"/>
            </w:pPr>
            <w:r/>
            <w:r>
              <w:rPr>
                <w:rFonts w:ascii="Times New Roman" w:hAnsi="Times New Roman"/>
                <w:b w:val="0"/>
                <w:sz w:val="20"/>
              </w:rPr>
              <w:t>9.5</w:t>
            </w:r>
          </w:p>
        </w:tc>
        <w:tc>
          <w:tcPr>
            <w:tcW w:type="dxa" w:w="1881"/>
          </w:tcPr>
          <w:p>
            <w:pPr>
              <w:jc w:val="center"/>
            </w:pPr>
            <w:r/>
            <w:r>
              <w:rPr>
                <w:rFonts w:ascii="Times New Roman" w:hAnsi="Times New Roman"/>
                <w:b w:val="0"/>
                <w:sz w:val="20"/>
              </w:rPr>
              <w:t>59.7</w:t>
            </w:r>
          </w:p>
        </w:tc>
      </w:tr>
      <w:tr>
        <w:tc>
          <w:tcPr>
            <w:tcW w:type="dxa" w:w="1881"/>
          </w:tcPr>
          <w:p>
            <w:pPr>
              <w:jc w:val="center"/>
            </w:pPr>
            <w:r/>
            <w:r>
              <w:rPr>
                <w:rFonts w:ascii="Times New Roman" w:hAnsi="Times New Roman"/>
                <w:b w:val="0"/>
                <w:sz w:val="20"/>
              </w:rPr>
              <w:t>Thursday</w:t>
            </w:r>
          </w:p>
        </w:tc>
        <w:tc>
          <w:tcPr>
            <w:tcW w:type="dxa" w:w="1881"/>
          </w:tcPr>
          <w:p>
            <w:pPr>
              <w:jc w:val="center"/>
            </w:pPr>
            <w:r/>
            <w:r>
              <w:rPr>
                <w:rFonts w:ascii="Times New Roman" w:hAnsi="Times New Roman"/>
                <w:b w:val="0"/>
                <w:sz w:val="20"/>
              </w:rPr>
              <w:t>15,844</w:t>
            </w:r>
          </w:p>
        </w:tc>
        <w:tc>
          <w:tcPr>
            <w:tcW w:type="dxa" w:w="1881"/>
          </w:tcPr>
          <w:p>
            <w:pPr>
              <w:jc w:val="center"/>
            </w:pPr>
            <w:r/>
            <w:r>
              <w:rPr>
                <w:rFonts w:ascii="Times New Roman" w:hAnsi="Times New Roman"/>
                <w:b w:val="0"/>
                <w:sz w:val="20"/>
              </w:rPr>
              <w:t>1,394</w:t>
            </w:r>
          </w:p>
        </w:tc>
        <w:tc>
          <w:tcPr>
            <w:tcW w:type="dxa" w:w="1881"/>
          </w:tcPr>
          <w:p>
            <w:pPr>
              <w:jc w:val="center"/>
            </w:pPr>
            <w:r/>
            <w:r>
              <w:rPr>
                <w:rFonts w:ascii="Times New Roman" w:hAnsi="Times New Roman"/>
                <w:b w:val="0"/>
                <w:sz w:val="20"/>
              </w:rPr>
              <w:t>8.8</w:t>
            </w:r>
          </w:p>
        </w:tc>
        <w:tc>
          <w:tcPr>
            <w:tcW w:type="dxa" w:w="1881"/>
          </w:tcPr>
          <w:p>
            <w:pPr>
              <w:jc w:val="center"/>
            </w:pPr>
            <w:r/>
            <w:r>
              <w:rPr>
                <w:rFonts w:ascii="Times New Roman" w:hAnsi="Times New Roman"/>
                <w:b w:val="0"/>
                <w:sz w:val="20"/>
              </w:rPr>
              <w:t>60.5</w:t>
            </w:r>
          </w:p>
        </w:tc>
      </w:tr>
      <w:tr>
        <w:tc>
          <w:tcPr>
            <w:tcW w:type="dxa" w:w="1881"/>
          </w:tcPr>
          <w:p>
            <w:pPr>
              <w:jc w:val="center"/>
            </w:pPr>
            <w:r/>
            <w:r>
              <w:rPr>
                <w:rFonts w:ascii="Times New Roman" w:hAnsi="Times New Roman"/>
                <w:b w:val="0"/>
                <w:sz w:val="20"/>
              </w:rPr>
              <w:t>Friday</w:t>
            </w:r>
          </w:p>
        </w:tc>
        <w:tc>
          <w:tcPr>
            <w:tcW w:type="dxa" w:w="1881"/>
          </w:tcPr>
          <w:p>
            <w:pPr>
              <w:jc w:val="center"/>
            </w:pPr>
            <w:r/>
            <w:r>
              <w:rPr>
                <w:rFonts w:ascii="Times New Roman" w:hAnsi="Times New Roman"/>
                <w:b w:val="0"/>
                <w:sz w:val="20"/>
              </w:rPr>
              <w:t>15,615</w:t>
            </w:r>
          </w:p>
        </w:tc>
        <w:tc>
          <w:tcPr>
            <w:tcW w:type="dxa" w:w="1881"/>
          </w:tcPr>
          <w:p>
            <w:pPr>
              <w:jc w:val="center"/>
            </w:pPr>
            <w:r/>
            <w:r>
              <w:rPr>
                <w:rFonts w:ascii="Times New Roman" w:hAnsi="Times New Roman"/>
                <w:b w:val="0"/>
                <w:sz w:val="20"/>
              </w:rPr>
              <w:t>1,546</w:t>
            </w:r>
          </w:p>
        </w:tc>
        <w:tc>
          <w:tcPr>
            <w:tcW w:type="dxa" w:w="1881"/>
          </w:tcPr>
          <w:p>
            <w:pPr>
              <w:jc w:val="center"/>
            </w:pPr>
            <w:r/>
            <w:r>
              <w:rPr>
                <w:rFonts w:ascii="Times New Roman" w:hAnsi="Times New Roman"/>
                <w:b w:val="0"/>
                <w:sz w:val="20"/>
              </w:rPr>
              <w:t>9.9</w:t>
            </w:r>
          </w:p>
        </w:tc>
        <w:tc>
          <w:tcPr>
            <w:tcW w:type="dxa" w:w="1881"/>
          </w:tcPr>
          <w:p>
            <w:pPr>
              <w:jc w:val="center"/>
            </w:pPr>
            <w:r/>
            <w:r>
              <w:rPr>
                <w:rFonts w:ascii="Times New Roman" w:hAnsi="Times New Roman"/>
                <w:b w:val="0"/>
                <w:sz w:val="20"/>
              </w:rPr>
              <w:t>62.4</w:t>
            </w:r>
          </w:p>
        </w:tc>
      </w:tr>
      <w:tr>
        <w:tc>
          <w:tcPr>
            <w:tcW w:type="dxa" w:w="1881"/>
          </w:tcPr>
          <w:p>
            <w:pPr>
              <w:jc w:val="center"/>
            </w:pPr>
            <w:r/>
            <w:r>
              <w:rPr>
                <w:rFonts w:ascii="Times New Roman" w:hAnsi="Times New Roman"/>
                <w:b w:val="0"/>
                <w:sz w:val="20"/>
              </w:rPr>
              <w:t>Saturday</w:t>
            </w:r>
          </w:p>
        </w:tc>
        <w:tc>
          <w:tcPr>
            <w:tcW w:type="dxa" w:w="1881"/>
          </w:tcPr>
          <w:p>
            <w:pPr>
              <w:jc w:val="center"/>
            </w:pPr>
            <w:r/>
            <w:r>
              <w:rPr>
                <w:rFonts w:ascii="Times New Roman" w:hAnsi="Times New Roman"/>
                <w:b w:val="0"/>
                <w:sz w:val="20"/>
              </w:rPr>
              <w:t>1,654</w:t>
            </w:r>
          </w:p>
        </w:tc>
        <w:tc>
          <w:tcPr>
            <w:tcW w:type="dxa" w:w="1881"/>
          </w:tcPr>
          <w:p>
            <w:pPr>
              <w:jc w:val="center"/>
            </w:pPr>
            <w:r/>
            <w:r>
              <w:rPr>
                <w:rFonts w:ascii="Times New Roman" w:hAnsi="Times New Roman"/>
                <w:b w:val="0"/>
                <w:sz w:val="20"/>
              </w:rPr>
              <w:t>278</w:t>
            </w:r>
          </w:p>
        </w:tc>
        <w:tc>
          <w:tcPr>
            <w:tcW w:type="dxa" w:w="1881"/>
          </w:tcPr>
          <w:p>
            <w:pPr>
              <w:jc w:val="center"/>
            </w:pPr>
            <w:r/>
            <w:r>
              <w:rPr>
                <w:rFonts w:ascii="Times New Roman" w:hAnsi="Times New Roman"/>
                <w:b w:val="0"/>
                <w:sz w:val="20"/>
              </w:rPr>
              <w:t>16.8</w:t>
            </w:r>
          </w:p>
        </w:tc>
        <w:tc>
          <w:tcPr>
            <w:tcW w:type="dxa" w:w="1881"/>
          </w:tcPr>
          <w:p>
            <w:pPr>
              <w:jc w:val="center"/>
            </w:pPr>
            <w:r/>
            <w:r>
              <w:rPr>
                <w:rFonts w:ascii="Times New Roman" w:hAnsi="Times New Roman"/>
                <w:b w:val="0"/>
                <w:sz w:val="20"/>
              </w:rPr>
              <w:t>63.4</w:t>
            </w:r>
          </w:p>
        </w:tc>
      </w:tr>
      <w:tr>
        <w:tc>
          <w:tcPr>
            <w:tcW w:type="dxa" w:w="1881"/>
          </w:tcPr>
          <w:p>
            <w:pPr>
              <w:jc w:val="center"/>
            </w:pPr>
            <w:r/>
            <w:r>
              <w:rPr>
                <w:rFonts w:ascii="Times New Roman" w:hAnsi="Times New Roman"/>
                <w:b w:val="0"/>
                <w:sz w:val="20"/>
              </w:rPr>
              <w:t>Sunday</w:t>
            </w:r>
          </w:p>
        </w:tc>
        <w:tc>
          <w:tcPr>
            <w:tcW w:type="dxa" w:w="1881"/>
          </w:tcPr>
          <w:p>
            <w:pPr>
              <w:jc w:val="center"/>
            </w:pPr>
            <w:r/>
            <w:r>
              <w:rPr>
                <w:rFonts w:ascii="Times New Roman" w:hAnsi="Times New Roman"/>
                <w:b w:val="0"/>
                <w:sz w:val="20"/>
              </w:rPr>
              <w:t>1,443</w:t>
            </w:r>
          </w:p>
        </w:tc>
        <w:tc>
          <w:tcPr>
            <w:tcW w:type="dxa" w:w="1881"/>
          </w:tcPr>
          <w:p>
            <w:pPr>
              <w:jc w:val="center"/>
            </w:pPr>
            <w:r/>
            <w:r>
              <w:rPr>
                <w:rFonts w:ascii="Times New Roman" w:hAnsi="Times New Roman"/>
                <w:b w:val="0"/>
                <w:sz w:val="20"/>
              </w:rPr>
              <w:t>224</w:t>
            </w:r>
          </w:p>
        </w:tc>
        <w:tc>
          <w:tcPr>
            <w:tcW w:type="dxa" w:w="1881"/>
          </w:tcPr>
          <w:p>
            <w:pPr>
              <w:jc w:val="center"/>
            </w:pPr>
            <w:r/>
            <w:r>
              <w:rPr>
                <w:rFonts w:ascii="Times New Roman" w:hAnsi="Times New Roman"/>
                <w:b w:val="0"/>
                <w:sz w:val="20"/>
              </w:rPr>
              <w:t>15.5</w:t>
            </w:r>
          </w:p>
        </w:tc>
        <w:tc>
          <w:tcPr>
            <w:tcW w:type="dxa" w:w="1881"/>
          </w:tcPr>
          <w:p>
            <w:pPr>
              <w:jc w:val="center"/>
            </w:pPr>
            <w:r/>
            <w:r>
              <w:rPr>
                <w:rFonts w:ascii="Times New Roman" w:hAnsi="Times New Roman"/>
                <w:b w:val="0"/>
                <w:sz w:val="20"/>
              </w:rPr>
              <w:t>59.1</w:t>
            </w:r>
          </w:p>
        </w:tc>
      </w:tr>
      <w:tr>
        <w:tc>
          <w:tcPr>
            <w:tcW w:type="dxa" w:w="1881"/>
            <w:shd w:val="clear" w:color="auto" w:fill="DEEBF7"/>
          </w:tcPr>
          <w:p>
            <w:pPr>
              <w:jc w:val="center"/>
            </w:pPr>
            <w:r/>
            <w:r>
              <w:rPr>
                <w:rFonts w:ascii="Times New Roman" w:hAnsi="Times New Roman"/>
                <w:b/>
                <w:sz w:val="20"/>
              </w:rPr>
              <w:t>Total</w:t>
            </w:r>
          </w:p>
        </w:tc>
        <w:tc>
          <w:tcPr>
            <w:tcW w:type="dxa" w:w="1881"/>
            <w:shd w:val="clear" w:color="auto" w:fill="DEEBF7"/>
          </w:tcPr>
          <w:p>
            <w:pPr>
              <w:jc w:val="center"/>
            </w:pPr>
            <w:r/>
            <w:r>
              <w:rPr>
                <w:rFonts w:ascii="Times New Roman" w:hAnsi="Times New Roman"/>
                <w:b/>
                <w:sz w:val="20"/>
              </w:rPr>
              <w:t>79,352</w:t>
            </w:r>
          </w:p>
        </w:tc>
        <w:tc>
          <w:tcPr>
            <w:tcW w:type="dxa" w:w="1881"/>
            <w:shd w:val="clear" w:color="auto" w:fill="DEEBF7"/>
          </w:tcPr>
          <w:p>
            <w:pPr>
              <w:jc w:val="center"/>
            </w:pPr>
            <w:r/>
            <w:r>
              <w:rPr>
                <w:rFonts w:ascii="Times New Roman" w:hAnsi="Times New Roman"/>
                <w:b/>
                <w:sz w:val="20"/>
              </w:rPr>
              <w:t>7,729</w:t>
            </w:r>
          </w:p>
        </w:tc>
        <w:tc>
          <w:tcPr>
            <w:tcW w:type="dxa" w:w="1881"/>
            <w:shd w:val="clear" w:color="auto" w:fill="DEEBF7"/>
          </w:tcPr>
          <w:p>
            <w:pPr>
              <w:jc w:val="center"/>
            </w:pPr>
            <w:r/>
            <w:r>
              <w:rPr>
                <w:rFonts w:ascii="Times New Roman" w:hAnsi="Times New Roman"/>
                <w:b/>
                <w:sz w:val="20"/>
              </w:rPr>
              <w:t>9.7</w:t>
            </w:r>
          </w:p>
        </w:tc>
        <w:tc>
          <w:tcPr>
            <w:tcW w:type="dxa" w:w="1881"/>
            <w:shd w:val="clear" w:color="auto" w:fill="DEEBF7"/>
          </w:tcPr>
          <w:p>
            <w:pPr>
              <w:jc w:val="center"/>
            </w:pPr>
            <w:r/>
            <w:r>
              <w:rPr>
                <w:rFonts w:ascii="Times New Roman" w:hAnsi="Times New Roman"/>
                <w:b/>
                <w:sz w:val="20"/>
              </w:rPr>
              <w:t>60.3</w:t>
            </w:r>
          </w:p>
        </w:tc>
      </w:tr>
    </w:tbl>
    <w:p>
      <w:pPr>
        <w:spacing w:after="120" w:line="280" w:lineRule="exact"/>
      </w:pPr>
    </w:p>
    <w:p>
      <w:pPr>
        <w:spacing w:before="240" w:after="80" w:line="280" w:lineRule="exact"/>
        <w:jc w:val="left"/>
      </w:pPr>
      <w:r>
        <w:rPr>
          <w:rFonts w:ascii="Times New Roman" w:hAnsi="Times New Roman"/>
          <w:b/>
          <w:sz w:val="22"/>
        </w:rPr>
        <w:t>Table 1B.</w:t>
      </w:r>
      <w:r>
        <w:rPr>
          <w:rFonts w:ascii="Times New Roman" w:hAnsi="Times New Roman"/>
          <w:sz w:val="22"/>
        </w:rPr>
        <w:t xml:space="preserve"> Overtime trend by year. * 2025 partial (Jan–May).</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2171b5"/>
          </w:tcPr>
          <w:p>
            <w:pPr>
              <w:jc w:val="center"/>
            </w:pPr>
            <w:r/>
            <w:r>
              <w:rPr>
                <w:rFonts w:ascii="Times New Roman" w:hAnsi="Times New Roman"/>
                <w:b/>
                <w:color w:val="FFFFFF"/>
                <w:sz w:val="20"/>
              </w:rPr>
              <w:t>Year</w:t>
            </w:r>
          </w:p>
        </w:tc>
        <w:tc>
          <w:tcPr>
            <w:tcW w:type="dxa" w:w="2351"/>
            <w:shd w:val="clear" w:color="auto" w:fill="2171b5"/>
          </w:tcPr>
          <w:p>
            <w:pPr>
              <w:jc w:val="center"/>
            </w:pPr>
            <w:r/>
            <w:r>
              <w:rPr>
                <w:rFonts w:ascii="Times New Roman" w:hAnsi="Times New Roman"/>
                <w:b/>
                <w:color w:val="FFFFFF"/>
                <w:sz w:val="20"/>
              </w:rPr>
              <w:t>OT rate (%)</w:t>
            </w:r>
          </w:p>
        </w:tc>
        <w:tc>
          <w:tcPr>
            <w:tcW w:type="dxa" w:w="2351"/>
            <w:shd w:val="clear" w:color="auto" w:fill="2171b5"/>
          </w:tcPr>
          <w:p>
            <w:pPr>
              <w:jc w:val="center"/>
            </w:pPr>
            <w:r/>
            <w:r>
              <w:rPr>
                <w:rFonts w:ascii="Times New Roman" w:hAnsi="Times New Roman"/>
                <w:b/>
                <w:color w:val="FFFFFF"/>
                <w:sz w:val="20"/>
              </w:rPr>
              <w:t>Mean OT (min)</w:t>
            </w:r>
          </w:p>
        </w:tc>
        <w:tc>
          <w:tcPr>
            <w:tcW w:type="dxa" w:w="2351"/>
            <w:shd w:val="clear" w:color="auto" w:fill="2171b5"/>
          </w:tcPr>
          <w:p>
            <w:pPr>
              <w:jc w:val="center"/>
            </w:pPr>
            <w:r/>
            <w:r>
              <w:rPr>
                <w:rFonts w:ascii="Times New Roman" w:hAnsi="Times New Roman"/>
                <w:b/>
                <w:color w:val="FFFFFF"/>
                <w:sz w:val="20"/>
              </w:rPr>
              <w:t>Median OT (min)</w:t>
            </w:r>
          </w:p>
        </w:tc>
      </w:tr>
      <w:tr>
        <w:tc>
          <w:tcPr>
            <w:tcW w:type="dxa" w:w="2351"/>
          </w:tcPr>
          <w:p>
            <w:pPr>
              <w:jc w:val="center"/>
            </w:pPr>
            <w:r/>
            <w:r>
              <w:rPr>
                <w:rFonts w:ascii="Times New Roman" w:hAnsi="Times New Roman"/>
                <w:b w:val="0"/>
                <w:sz w:val="20"/>
              </w:rPr>
              <w:t>2022</w:t>
            </w:r>
          </w:p>
        </w:tc>
        <w:tc>
          <w:tcPr>
            <w:tcW w:type="dxa" w:w="2351"/>
          </w:tcPr>
          <w:p>
            <w:pPr>
              <w:jc w:val="center"/>
            </w:pPr>
            <w:r/>
            <w:r>
              <w:rPr>
                <w:rFonts w:ascii="Times New Roman" w:hAnsi="Times New Roman"/>
                <w:b w:val="0"/>
                <w:sz w:val="20"/>
              </w:rPr>
              <w:t>10.0</w:t>
            </w:r>
          </w:p>
        </w:tc>
        <w:tc>
          <w:tcPr>
            <w:tcW w:type="dxa" w:w="2351"/>
          </w:tcPr>
          <w:p>
            <w:pPr>
              <w:jc w:val="center"/>
            </w:pPr>
            <w:r/>
            <w:r>
              <w:rPr>
                <w:rFonts w:ascii="Times New Roman" w:hAnsi="Times New Roman"/>
                <w:b w:val="0"/>
                <w:sz w:val="20"/>
              </w:rPr>
              <w:t>61.8</w:t>
            </w:r>
          </w:p>
        </w:tc>
        <w:tc>
          <w:tcPr>
            <w:tcW w:type="dxa" w:w="2351"/>
          </w:tcPr>
          <w:p>
            <w:pPr>
              <w:jc w:val="center"/>
            </w:pPr>
            <w:r/>
            <w:r>
              <w:rPr>
                <w:rFonts w:ascii="Times New Roman" w:hAnsi="Times New Roman"/>
                <w:b w:val="0"/>
                <w:sz w:val="20"/>
              </w:rPr>
              <w:t>40</w:t>
            </w:r>
          </w:p>
        </w:tc>
      </w:tr>
      <w:tr>
        <w:tc>
          <w:tcPr>
            <w:tcW w:type="dxa" w:w="2351"/>
          </w:tcPr>
          <w:p>
            <w:pPr>
              <w:jc w:val="center"/>
            </w:pPr>
            <w:r/>
            <w:r>
              <w:rPr>
                <w:rFonts w:ascii="Times New Roman" w:hAnsi="Times New Roman"/>
                <w:b w:val="0"/>
                <w:sz w:val="20"/>
              </w:rPr>
              <w:t>2023</w:t>
            </w:r>
          </w:p>
        </w:tc>
        <w:tc>
          <w:tcPr>
            <w:tcW w:type="dxa" w:w="2351"/>
          </w:tcPr>
          <w:p>
            <w:pPr>
              <w:jc w:val="center"/>
            </w:pPr>
            <w:r/>
            <w:r>
              <w:rPr>
                <w:rFonts w:ascii="Times New Roman" w:hAnsi="Times New Roman"/>
                <w:b w:val="0"/>
                <w:sz w:val="20"/>
              </w:rPr>
              <w:t>10.0</w:t>
            </w:r>
          </w:p>
        </w:tc>
        <w:tc>
          <w:tcPr>
            <w:tcW w:type="dxa" w:w="2351"/>
          </w:tcPr>
          <w:p>
            <w:pPr>
              <w:jc w:val="center"/>
            </w:pPr>
            <w:r/>
            <w:r>
              <w:rPr>
                <w:rFonts w:ascii="Times New Roman" w:hAnsi="Times New Roman"/>
                <w:b w:val="0"/>
                <w:sz w:val="20"/>
              </w:rPr>
              <w:t>58.8</w:t>
            </w:r>
          </w:p>
        </w:tc>
        <w:tc>
          <w:tcPr>
            <w:tcW w:type="dxa" w:w="2351"/>
          </w:tcPr>
          <w:p>
            <w:pPr>
              <w:jc w:val="center"/>
            </w:pPr>
            <w:r/>
            <w:r>
              <w:rPr>
                <w:rFonts w:ascii="Times New Roman" w:hAnsi="Times New Roman"/>
                <w:b w:val="0"/>
                <w:sz w:val="20"/>
              </w:rPr>
              <w:t>38</w:t>
            </w:r>
          </w:p>
        </w:tc>
      </w:tr>
      <w:tr>
        <w:tc>
          <w:tcPr>
            <w:tcW w:type="dxa" w:w="2351"/>
          </w:tcPr>
          <w:p>
            <w:pPr>
              <w:jc w:val="center"/>
            </w:pPr>
            <w:r/>
            <w:r>
              <w:rPr>
                <w:rFonts w:ascii="Times New Roman" w:hAnsi="Times New Roman"/>
                <w:b w:val="0"/>
                <w:sz w:val="20"/>
              </w:rPr>
              <w:t>2024</w:t>
            </w:r>
          </w:p>
        </w:tc>
        <w:tc>
          <w:tcPr>
            <w:tcW w:type="dxa" w:w="2351"/>
          </w:tcPr>
          <w:p>
            <w:pPr>
              <w:jc w:val="center"/>
            </w:pPr>
            <w:r/>
            <w:r>
              <w:rPr>
                <w:rFonts w:ascii="Times New Roman" w:hAnsi="Times New Roman"/>
                <w:b w:val="0"/>
                <w:sz w:val="20"/>
              </w:rPr>
              <w:t>9.7</w:t>
            </w:r>
          </w:p>
        </w:tc>
        <w:tc>
          <w:tcPr>
            <w:tcW w:type="dxa" w:w="2351"/>
          </w:tcPr>
          <w:p>
            <w:pPr>
              <w:jc w:val="center"/>
            </w:pPr>
            <w:r/>
            <w:r>
              <w:rPr>
                <w:rFonts w:ascii="Times New Roman" w:hAnsi="Times New Roman"/>
                <w:b w:val="0"/>
                <w:sz w:val="20"/>
              </w:rPr>
              <w:t>61.3</w:t>
            </w:r>
          </w:p>
        </w:tc>
        <w:tc>
          <w:tcPr>
            <w:tcW w:type="dxa" w:w="2351"/>
          </w:tcPr>
          <w:p>
            <w:pPr>
              <w:jc w:val="center"/>
            </w:pPr>
            <w:r/>
            <w:r>
              <w:rPr>
                <w:rFonts w:ascii="Times New Roman" w:hAnsi="Times New Roman"/>
                <w:b w:val="0"/>
                <w:sz w:val="20"/>
              </w:rPr>
              <w:t>39</w:t>
            </w:r>
          </w:p>
        </w:tc>
      </w:tr>
      <w:tr>
        <w:tc>
          <w:tcPr>
            <w:tcW w:type="dxa" w:w="2351"/>
          </w:tcPr>
          <w:p>
            <w:pPr>
              <w:jc w:val="center"/>
            </w:pPr>
            <w:r/>
            <w:r>
              <w:rPr>
                <w:rFonts w:ascii="Times New Roman" w:hAnsi="Times New Roman"/>
                <w:b w:val="0"/>
                <w:sz w:val="20"/>
              </w:rPr>
              <w:t>2025*</w:t>
            </w:r>
          </w:p>
        </w:tc>
        <w:tc>
          <w:tcPr>
            <w:tcW w:type="dxa" w:w="2351"/>
          </w:tcPr>
          <w:p>
            <w:pPr>
              <w:jc w:val="center"/>
            </w:pPr>
            <w:r/>
            <w:r>
              <w:rPr>
                <w:rFonts w:ascii="Times New Roman" w:hAnsi="Times New Roman"/>
                <w:b w:val="0"/>
                <w:sz w:val="20"/>
              </w:rPr>
              <w:t>8.6</w:t>
            </w:r>
          </w:p>
        </w:tc>
        <w:tc>
          <w:tcPr>
            <w:tcW w:type="dxa" w:w="2351"/>
          </w:tcPr>
          <w:p>
            <w:pPr>
              <w:jc w:val="center"/>
            </w:pPr>
            <w:r/>
            <w:r>
              <w:rPr>
                <w:rFonts w:ascii="Times New Roman" w:hAnsi="Times New Roman"/>
                <w:b w:val="0"/>
                <w:sz w:val="20"/>
              </w:rPr>
              <w:t>58.2</w:t>
            </w:r>
          </w:p>
        </w:tc>
        <w:tc>
          <w:tcPr>
            <w:tcW w:type="dxa" w:w="2351"/>
          </w:tcPr>
          <w:p>
            <w:pPr>
              <w:jc w:val="center"/>
            </w:pPr>
            <w:r/>
            <w:r>
              <w:rPr>
                <w:rFonts w:ascii="Times New Roman" w:hAnsi="Times New Roman"/>
                <w:b w:val="0"/>
                <w:sz w:val="20"/>
              </w:rPr>
              <w:t>37</w:t>
            </w:r>
          </w:p>
        </w:tc>
      </w:tr>
    </w:tbl>
    <w:p>
      <w:pPr>
        <w:spacing w:after="120" w:line="28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Rates therefore spanned nearly an order of magnitude across rooms in the same hospital.</w:t>
      </w:r>
    </w:p>
    <w:p>
      <w:pPr>
        <w:spacing w:before="240" w:after="120" w:line="280" w:lineRule="exact"/>
        <w:jc w:val="center"/>
      </w:pPr>
      <w:r>
        <w:drawing>
          <wp:inline xmlns:a="http://schemas.openxmlformats.org/drawingml/2006/main" xmlns:pic="http://schemas.openxmlformats.org/drawingml/2006/picture">
            <wp:extent cx="5760720" cy="3921480"/>
            <wp:docPr id="1" name="Picture 1"/>
            <wp:cNvGraphicFramePr>
              <a:graphicFrameLocks noChangeAspect="1"/>
            </wp:cNvGraphicFramePr>
            <a:graphic>
              <a:graphicData uri="http://schemas.openxmlformats.org/drawingml/2006/picture">
                <pic:pic>
                  <pic:nvPicPr>
                    <pic:cNvPr id="0" name="fig2_room_overtime.png"/>
                    <pic:cNvPicPr/>
                  </pic:nvPicPr>
                  <pic:blipFill>
                    <a:blip r:embed="rId9"/>
                    <a:stretch>
                      <a:fillRect/>
                    </a:stretch>
                  </pic:blipFill>
                  <pic:spPr>
                    <a:xfrm>
                      <a:off x="0" y="0"/>
                      <a:ext cx="5760720" cy="3921480"/>
                    </a:xfrm>
                    <a:prstGeom prst="rect"/>
                  </pic:spPr>
                </pic:pic>
              </a:graphicData>
            </a:graphic>
          </wp:inline>
        </w:drawing>
      </w:r>
    </w:p>
    <w:p>
      <w:pPr>
        <w:spacing w:after="240" w:line="280" w:lineRule="exact"/>
        <w:jc w:val="left"/>
      </w:pPr>
      <w:r>
        <w:rPr>
          <w:rFonts w:ascii="Times New Roman" w:hAnsi="Times New Roman"/>
          <w:b/>
          <w:sz w:val="22"/>
        </w:rPr>
        <w:t>Figure 1.</w:t>
      </w:r>
      <w:r>
        <w:rPr>
          <w:rFonts w:ascii="Times New Roman" w:hAnsi="Times New Roman"/>
          <w:sz w:val="22"/>
        </w:rPr>
        <w:t xml:space="preserve"> Room-level overtime concentration. Panel A: percentage of cases with overtime per operating room, ordered ascending. Panel B: mean overtime duration per room (minutes). Overall: 7,729 of 79,352 cases (9.7%), mean 60.3 min, median 39 min, P95 197 min.</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right after the day-shift handover when most of the rooms had already closed. The distribution decayed through the evening, with a thin tail past 22:00.</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The procedures with the largest absolute deviations (complex cardiac and oncology cases) were concentrated in the rooms with the highest overtime.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constituted 14.6% of volume (11,616 of 79,352). Per case, urgent surgery ran past the shift boundary at more than twice the elective rate (18.2% versus 8.3%, Table 2), with heavier tails (P95 69 versus 29 minutes). Because elective cases outnumbered urgent cases nearly six to one, the absolute volume of overtime minutes was still dominated by the elective program.</w:t>
      </w:r>
    </w:p>
    <w:p>
      <w:pPr>
        <w:spacing w:after="120" w:before="0" w:line="480" w:lineRule="exact"/>
        <w:jc w:val="left"/>
      </w:pPr>
      <w:r>
        <w:rPr>
          <w:rFonts w:ascii="Times New Roman" w:hAnsi="Times New Roman"/>
          <w:b w:val="0"/>
          <w:i w:val="0"/>
          <w:sz w:val="24"/>
        </w:rPr>
        <w:t>To assess whether urgent cases disrupt the elective program,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On days with overlap, elective cases started roughly 30 minutes later than on days without, a gap that reached 60 minutes in early 2022 before narrowing. OR11 absorbed the highest overlap burden, with 475 events affecting 15.2% of its elective cases.</w:t>
      </w:r>
    </w:p>
    <w:p>
      <w:pPr>
        <w:spacing w:before="240" w:after="80" w:line="280" w:lineRule="exact"/>
        <w:jc w:val="left"/>
      </w:pPr>
      <w:r>
        <w:rPr>
          <w:rFonts w:ascii="Times New Roman" w:hAnsi="Times New Roman"/>
          <w:b/>
          <w:sz w:val="22"/>
        </w:rPr>
        <w:t>Table 2A.</w:t>
      </w:r>
      <w:r>
        <w:rPr>
          <w:rFonts w:ascii="Times New Roman" w:hAnsi="Times New Roman"/>
          <w:sz w:val="22"/>
        </w:rPr>
        <w:t xml:space="preserve"> Volume and overtime by urgency.</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2171b5"/>
          </w:tcPr>
          <w:p>
            <w:pPr>
              <w:jc w:val="center"/>
            </w:pPr>
            <w:r/>
            <w:r>
              <w:rPr>
                <w:rFonts w:ascii="Times New Roman" w:hAnsi="Times New Roman"/>
                <w:b/>
                <w:color w:val="FFFFFF"/>
                <w:sz w:val="20"/>
              </w:rPr>
              <w:t>Urgency</w:t>
            </w:r>
          </w:p>
        </w:tc>
        <w:tc>
          <w:tcPr>
            <w:tcW w:type="dxa" w:w="1344"/>
            <w:shd w:val="clear" w:color="auto" w:fill="2171b5"/>
          </w:tcPr>
          <w:p>
            <w:pPr>
              <w:jc w:val="center"/>
            </w:pPr>
            <w:r/>
            <w:r>
              <w:rPr>
                <w:rFonts w:ascii="Times New Roman" w:hAnsi="Times New Roman"/>
                <w:b/>
                <w:color w:val="FFFFFF"/>
                <w:sz w:val="20"/>
              </w:rPr>
              <w:t>n</w:t>
            </w:r>
          </w:p>
        </w:tc>
        <w:tc>
          <w:tcPr>
            <w:tcW w:type="dxa" w:w="1344"/>
            <w:shd w:val="clear" w:color="auto" w:fill="2171b5"/>
          </w:tcPr>
          <w:p>
            <w:pPr>
              <w:jc w:val="center"/>
            </w:pPr>
            <w:r/>
            <w:r>
              <w:rPr>
                <w:rFonts w:ascii="Times New Roman" w:hAnsi="Times New Roman"/>
                <w:b/>
                <w:color w:val="FFFFFF"/>
                <w:sz w:val="20"/>
              </w:rPr>
              <w:t>Share</w:t>
            </w:r>
          </w:p>
        </w:tc>
        <w:tc>
          <w:tcPr>
            <w:tcW w:type="dxa" w:w="1344"/>
            <w:shd w:val="clear" w:color="auto" w:fill="2171b5"/>
          </w:tcPr>
          <w:p>
            <w:pPr>
              <w:jc w:val="center"/>
            </w:pPr>
            <w:r/>
            <w:r>
              <w:rPr>
                <w:rFonts w:ascii="Times New Roman" w:hAnsi="Times New Roman"/>
                <w:b/>
                <w:color w:val="FFFFFF"/>
                <w:sz w:val="20"/>
              </w:rPr>
              <w:t>After-hours n</w:t>
            </w:r>
          </w:p>
        </w:tc>
        <w:tc>
          <w:tcPr>
            <w:tcW w:type="dxa" w:w="1344"/>
            <w:shd w:val="clear" w:color="auto" w:fill="2171b5"/>
          </w:tcPr>
          <w:p>
            <w:pPr>
              <w:jc w:val="center"/>
            </w:pPr>
            <w:r/>
            <w:r>
              <w:rPr>
                <w:rFonts w:ascii="Times New Roman" w:hAnsi="Times New Roman"/>
                <w:b/>
                <w:color w:val="FFFFFF"/>
                <w:sz w:val="20"/>
              </w:rPr>
              <w:t>After-hours rate</w:t>
            </w:r>
          </w:p>
        </w:tc>
        <w:tc>
          <w:tcPr>
            <w:tcW w:type="dxa" w:w="1344"/>
            <w:shd w:val="clear" w:color="auto" w:fill="2171b5"/>
          </w:tcPr>
          <w:p>
            <w:pPr>
              <w:jc w:val="center"/>
            </w:pPr>
            <w:r/>
            <w:r>
              <w:rPr>
                <w:rFonts w:ascii="Times New Roman" w:hAnsi="Times New Roman"/>
                <w:b/>
                <w:color w:val="FFFFFF"/>
                <w:sz w:val="20"/>
              </w:rPr>
              <w:t>Mean OT (min)</w:t>
            </w:r>
          </w:p>
        </w:tc>
        <w:tc>
          <w:tcPr>
            <w:tcW w:type="dxa" w:w="1344"/>
            <w:shd w:val="clear" w:color="auto" w:fill="2171b5"/>
          </w:tcPr>
          <w:p>
            <w:pPr>
              <w:jc w:val="center"/>
            </w:pPr>
            <w:r/>
            <w:r>
              <w:rPr>
                <w:rFonts w:ascii="Times New Roman" w:hAnsi="Times New Roman"/>
                <w:b/>
                <w:color w:val="FFFFFF"/>
                <w:sz w:val="20"/>
              </w:rPr>
              <w:t>P95 OT (min)</w:t>
            </w:r>
          </w:p>
        </w:tc>
      </w:tr>
      <w:tr>
        <w:tc>
          <w:tcPr>
            <w:tcW w:type="dxa" w:w="1344"/>
          </w:tcPr>
          <w:p>
            <w:pPr>
              <w:jc w:val="center"/>
            </w:pPr>
            <w:r/>
            <w:r>
              <w:rPr>
                <w:rFonts w:ascii="Times New Roman" w:hAnsi="Times New Roman"/>
                <w:b w:val="0"/>
                <w:sz w:val="20"/>
              </w:rPr>
              <w:t>Elective</w:t>
            </w:r>
          </w:p>
        </w:tc>
        <w:tc>
          <w:tcPr>
            <w:tcW w:type="dxa" w:w="1344"/>
          </w:tcPr>
          <w:p>
            <w:pPr>
              <w:jc w:val="center"/>
            </w:pPr>
            <w:r/>
            <w:r>
              <w:rPr>
                <w:rFonts w:ascii="Times New Roman" w:hAnsi="Times New Roman"/>
                <w:b w:val="0"/>
                <w:sz w:val="20"/>
              </w:rPr>
              <w:t>67,736</w:t>
            </w:r>
          </w:p>
        </w:tc>
        <w:tc>
          <w:tcPr>
            <w:tcW w:type="dxa" w:w="1344"/>
          </w:tcPr>
          <w:p>
            <w:pPr>
              <w:jc w:val="center"/>
            </w:pPr>
            <w:r/>
            <w:r>
              <w:rPr>
                <w:rFonts w:ascii="Times New Roman" w:hAnsi="Times New Roman"/>
                <w:b w:val="0"/>
                <w:sz w:val="20"/>
              </w:rPr>
              <w:t>85.4%</w:t>
            </w:r>
          </w:p>
        </w:tc>
        <w:tc>
          <w:tcPr>
            <w:tcW w:type="dxa" w:w="1344"/>
          </w:tcPr>
          <w:p>
            <w:pPr>
              <w:jc w:val="center"/>
            </w:pPr>
            <w:r/>
            <w:r>
              <w:rPr>
                <w:rFonts w:ascii="Times New Roman" w:hAnsi="Times New Roman"/>
                <w:b w:val="0"/>
                <w:sz w:val="20"/>
              </w:rPr>
              <w:t>5,620</w:t>
            </w:r>
          </w:p>
        </w:tc>
        <w:tc>
          <w:tcPr>
            <w:tcW w:type="dxa" w:w="1344"/>
          </w:tcPr>
          <w:p>
            <w:pPr>
              <w:jc w:val="center"/>
            </w:pPr>
            <w:r/>
            <w:r>
              <w:rPr>
                <w:rFonts w:ascii="Times New Roman" w:hAnsi="Times New Roman"/>
                <w:b w:val="0"/>
                <w:sz w:val="20"/>
              </w:rPr>
              <w:t>8.3%</w:t>
            </w:r>
          </w:p>
        </w:tc>
        <w:tc>
          <w:tcPr>
            <w:tcW w:type="dxa" w:w="1344"/>
          </w:tcPr>
          <w:p>
            <w:pPr>
              <w:jc w:val="center"/>
            </w:pPr>
            <w:r/>
            <w:r>
              <w:rPr>
                <w:rFonts w:ascii="Times New Roman" w:hAnsi="Times New Roman"/>
                <w:b w:val="0"/>
                <w:sz w:val="20"/>
              </w:rPr>
              <w:t>5</w:t>
            </w:r>
          </w:p>
        </w:tc>
        <w:tc>
          <w:tcPr>
            <w:tcW w:type="dxa" w:w="1344"/>
          </w:tcPr>
          <w:p>
            <w:pPr>
              <w:jc w:val="center"/>
            </w:pPr>
            <w:r/>
            <w:r>
              <w:rPr>
                <w:rFonts w:ascii="Times New Roman" w:hAnsi="Times New Roman"/>
                <w:b w:val="0"/>
                <w:sz w:val="20"/>
              </w:rPr>
              <w:t>29</w:t>
            </w:r>
          </w:p>
        </w:tc>
      </w:tr>
      <w:tr>
        <w:tc>
          <w:tcPr>
            <w:tcW w:type="dxa" w:w="1344"/>
          </w:tcPr>
          <w:p>
            <w:pPr>
              <w:jc w:val="center"/>
            </w:pPr>
            <w:r/>
            <w:r>
              <w:rPr>
                <w:rFonts w:ascii="Times New Roman" w:hAnsi="Times New Roman"/>
                <w:b w:val="0"/>
                <w:sz w:val="20"/>
              </w:rPr>
              <w:t>Non-elective</w:t>
            </w:r>
          </w:p>
        </w:tc>
        <w:tc>
          <w:tcPr>
            <w:tcW w:type="dxa" w:w="1344"/>
          </w:tcPr>
          <w:p>
            <w:pPr>
              <w:jc w:val="center"/>
            </w:pPr>
            <w:r/>
            <w:r>
              <w:rPr>
                <w:rFonts w:ascii="Times New Roman" w:hAnsi="Times New Roman"/>
                <w:b w:val="0"/>
                <w:sz w:val="20"/>
              </w:rPr>
              <w:t>11,616</w:t>
            </w:r>
          </w:p>
        </w:tc>
        <w:tc>
          <w:tcPr>
            <w:tcW w:type="dxa" w:w="1344"/>
          </w:tcPr>
          <w:p>
            <w:pPr>
              <w:jc w:val="center"/>
            </w:pPr>
            <w:r/>
            <w:r>
              <w:rPr>
                <w:rFonts w:ascii="Times New Roman" w:hAnsi="Times New Roman"/>
                <w:b w:val="0"/>
                <w:sz w:val="20"/>
              </w:rPr>
              <w:t>14.6%</w:t>
            </w:r>
          </w:p>
        </w:tc>
        <w:tc>
          <w:tcPr>
            <w:tcW w:type="dxa" w:w="1344"/>
          </w:tcPr>
          <w:p>
            <w:pPr>
              <w:jc w:val="center"/>
            </w:pPr>
            <w:r/>
            <w:r>
              <w:rPr>
                <w:rFonts w:ascii="Times New Roman" w:hAnsi="Times New Roman"/>
                <w:b w:val="0"/>
                <w:sz w:val="20"/>
              </w:rPr>
              <w:t>2,109</w:t>
            </w:r>
          </w:p>
        </w:tc>
        <w:tc>
          <w:tcPr>
            <w:tcW w:type="dxa" w:w="1344"/>
          </w:tcPr>
          <w:p>
            <w:pPr>
              <w:jc w:val="center"/>
            </w:pPr>
            <w:r/>
            <w:r>
              <w:rPr>
                <w:rFonts w:ascii="Times New Roman" w:hAnsi="Times New Roman"/>
                <w:b w:val="0"/>
                <w:sz w:val="20"/>
              </w:rPr>
              <w:t>18.2%</w:t>
            </w:r>
          </w:p>
        </w:tc>
        <w:tc>
          <w:tcPr>
            <w:tcW w:type="dxa" w:w="1344"/>
          </w:tcPr>
          <w:p>
            <w:pPr>
              <w:jc w:val="center"/>
            </w:pPr>
            <w:r/>
            <w:r>
              <w:rPr>
                <w:rFonts w:ascii="Times New Roman" w:hAnsi="Times New Roman"/>
                <w:b w:val="0"/>
                <w:sz w:val="20"/>
              </w:rPr>
              <w:t>10.7</w:t>
            </w:r>
          </w:p>
        </w:tc>
        <w:tc>
          <w:tcPr>
            <w:tcW w:type="dxa" w:w="1344"/>
          </w:tcPr>
          <w:p>
            <w:pPr>
              <w:jc w:val="center"/>
            </w:pPr>
            <w:r/>
            <w:r>
              <w:rPr>
                <w:rFonts w:ascii="Times New Roman" w:hAnsi="Times New Roman"/>
                <w:b w:val="0"/>
                <w:sz w:val="20"/>
              </w:rPr>
              <w:t>69</w:t>
            </w:r>
          </w:p>
        </w:tc>
      </w:tr>
      <w:tr>
        <w:tc>
          <w:tcPr>
            <w:tcW w:type="dxa" w:w="1344"/>
            <w:shd w:val="clear" w:color="auto" w:fill="DEEBF7"/>
          </w:tcPr>
          <w:p>
            <w:pPr>
              <w:jc w:val="center"/>
            </w:pPr>
            <w:r/>
            <w:r>
              <w:rPr>
                <w:rFonts w:ascii="Times New Roman" w:hAnsi="Times New Roman"/>
                <w:b/>
                <w:sz w:val="20"/>
              </w:rPr>
              <w:t>Total</w:t>
            </w:r>
          </w:p>
        </w:tc>
        <w:tc>
          <w:tcPr>
            <w:tcW w:type="dxa" w:w="1344"/>
            <w:shd w:val="clear" w:color="auto" w:fill="DEEBF7"/>
          </w:tcPr>
          <w:p>
            <w:pPr>
              <w:jc w:val="center"/>
            </w:pPr>
            <w:r/>
            <w:r>
              <w:rPr>
                <w:rFonts w:ascii="Times New Roman" w:hAnsi="Times New Roman"/>
                <w:b/>
                <w:sz w:val="20"/>
              </w:rPr>
              <w:t>79,352</w:t>
            </w:r>
          </w:p>
        </w:tc>
        <w:tc>
          <w:tcPr>
            <w:tcW w:type="dxa" w:w="1344"/>
            <w:shd w:val="clear" w:color="auto" w:fill="DEEBF7"/>
          </w:tcPr>
          <w:p>
            <w:pPr>
              <w:jc w:val="center"/>
            </w:pPr>
            <w:r/>
            <w:r>
              <w:rPr>
                <w:rFonts w:ascii="Times New Roman" w:hAnsi="Times New Roman"/>
                <w:b/>
                <w:sz w:val="20"/>
              </w:rPr>
              <w:t>100%</w:t>
            </w:r>
          </w:p>
        </w:tc>
        <w:tc>
          <w:tcPr>
            <w:tcW w:type="dxa" w:w="1344"/>
            <w:shd w:val="clear" w:color="auto" w:fill="DEEBF7"/>
          </w:tcPr>
          <w:p>
            <w:pPr>
              <w:jc w:val="center"/>
            </w:pPr>
            <w:r/>
            <w:r>
              <w:rPr>
                <w:rFonts w:ascii="Times New Roman" w:hAnsi="Times New Roman"/>
                <w:b/>
                <w:sz w:val="20"/>
              </w:rPr>
              <w:t>7,729</w:t>
            </w:r>
          </w:p>
        </w:tc>
        <w:tc>
          <w:tcPr>
            <w:tcW w:type="dxa" w:w="1344"/>
            <w:shd w:val="clear" w:color="auto" w:fill="DEEBF7"/>
          </w:tcPr>
          <w:p>
            <w:pPr>
              <w:jc w:val="center"/>
            </w:pPr>
            <w:r/>
            <w:r>
              <w:rPr>
                <w:rFonts w:ascii="Times New Roman" w:hAnsi="Times New Roman"/>
                <w:b/>
                <w:sz w:val="20"/>
              </w:rPr>
              <w:t>9.7%</w:t>
            </w:r>
          </w:p>
        </w:tc>
        <w:tc>
          <w:tcPr>
            <w:tcW w:type="dxa" w:w="1344"/>
            <w:shd w:val="clear" w:color="auto" w:fill="DEEBF7"/>
          </w:tcPr>
          <w:p>
            <w:pPr>
              <w:jc w:val="center"/>
            </w:pPr>
            <w:r/>
            <w:r>
              <w:rPr>
                <w:rFonts w:ascii="Times New Roman" w:hAnsi="Times New Roman"/>
                <w:b/>
                <w:sz w:val="20"/>
              </w:rPr>
              <w:t>–</w:t>
            </w:r>
          </w:p>
        </w:tc>
        <w:tc>
          <w:tcPr>
            <w:tcW w:type="dxa" w:w="1344"/>
            <w:shd w:val="clear" w:color="auto" w:fill="DEEBF7"/>
          </w:tcPr>
          <w:p>
            <w:pPr>
              <w:jc w:val="center"/>
            </w:pPr>
            <w:r/>
            <w:r>
              <w:rPr>
                <w:rFonts w:ascii="Times New Roman" w:hAnsi="Times New Roman"/>
                <w:b/>
                <w:sz w:val="20"/>
              </w:rPr>
              <w:t>–</w:t>
            </w:r>
          </w:p>
        </w:tc>
      </w:tr>
    </w:tbl>
    <w:p>
      <w:pPr>
        <w:spacing w:after="120" w:line="280" w:lineRule="exact"/>
      </w:pPr>
    </w:p>
    <w:p>
      <w:pPr>
        <w:spacing w:before="240" w:after="80" w:line="280" w:lineRule="exact"/>
        <w:jc w:val="left"/>
      </w:pPr>
      <w:r>
        <w:rPr>
          <w:rFonts w:ascii="Times New Roman" w:hAnsi="Times New Roman"/>
          <w:b/>
          <w:sz w:val="22"/>
        </w:rPr>
        <w:t>Table 2B.</w:t>
      </w:r>
      <w:r>
        <w:rPr>
          <w:rFonts w:ascii="Times New Roman" w:hAnsi="Times New Roman"/>
          <w:sz w:val="22"/>
        </w:rPr>
        <w:t xml:space="preserve"> Urgent–elective overlap in the same room.</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171b5"/>
          </w:tcPr>
          <w:p>
            <w:pPr>
              <w:jc w:val="center"/>
            </w:pPr>
            <w:r/>
            <w:r>
              <w:rPr>
                <w:rFonts w:ascii="Times New Roman" w:hAnsi="Times New Roman"/>
                <w:b/>
                <w:color w:val="FFFFFF"/>
                <w:sz w:val="20"/>
              </w:rPr>
              <w:t>Metric</w:t>
            </w:r>
          </w:p>
        </w:tc>
        <w:tc>
          <w:tcPr>
            <w:tcW w:type="dxa" w:w="4703"/>
            <w:shd w:val="clear" w:color="auto" w:fill="2171b5"/>
          </w:tcPr>
          <w:p>
            <w:pPr>
              <w:jc w:val="center"/>
            </w:pPr>
            <w:r/>
            <w:r>
              <w:rPr>
                <w:rFonts w:ascii="Times New Roman" w:hAnsi="Times New Roman"/>
                <w:b/>
                <w:color w:val="FFFFFF"/>
                <w:sz w:val="20"/>
              </w:rPr>
              <w:t>Value</w:t>
            </w:r>
          </w:p>
        </w:tc>
      </w:tr>
      <w:tr>
        <w:tc>
          <w:tcPr>
            <w:tcW w:type="dxa" w:w="4703"/>
          </w:tcPr>
          <w:p>
            <w:pPr>
              <w:jc w:val="center"/>
            </w:pPr>
            <w:r/>
            <w:r>
              <w:rPr>
                <w:rFonts w:ascii="Times New Roman" w:hAnsi="Times New Roman"/>
                <w:b w:val="0"/>
                <w:sz w:val="20"/>
              </w:rPr>
              <w:t>Days with at least one urgent–elective overlap</w:t>
            </w:r>
          </w:p>
        </w:tc>
        <w:tc>
          <w:tcPr>
            <w:tcW w:type="dxa" w:w="4703"/>
          </w:tcPr>
          <w:p>
            <w:pPr>
              <w:jc w:val="center"/>
            </w:pPr>
            <w:r/>
            <w:r>
              <w:rPr>
                <w:rFonts w:ascii="Times New Roman" w:hAnsi="Times New Roman"/>
                <w:b w:val="0"/>
                <w:sz w:val="20"/>
              </w:rPr>
              <w:t>858 of 1,247 (68.8%)</w:t>
            </w:r>
          </w:p>
        </w:tc>
      </w:tr>
      <w:tr>
        <w:tc>
          <w:tcPr>
            <w:tcW w:type="dxa" w:w="4703"/>
          </w:tcPr>
          <w:p>
            <w:pPr>
              <w:jc w:val="center"/>
            </w:pPr>
            <w:r/>
            <w:r>
              <w:rPr>
                <w:rFonts w:ascii="Times New Roman" w:hAnsi="Times New Roman"/>
                <w:b w:val="0"/>
                <w:sz w:val="20"/>
              </w:rPr>
              <w:t>Highest-burden room (OR11)</w:t>
            </w:r>
          </w:p>
        </w:tc>
        <w:tc>
          <w:tcPr>
            <w:tcW w:type="dxa" w:w="4703"/>
          </w:tcPr>
          <w:p>
            <w:pPr>
              <w:jc w:val="center"/>
            </w:pPr>
            <w:r/>
            <w:r>
              <w:rPr>
                <w:rFonts w:ascii="Times New Roman" w:hAnsi="Times New Roman"/>
                <w:b w:val="0"/>
                <w:sz w:val="20"/>
              </w:rPr>
              <w:t>475 events; 15.2% of OR11 elective cases</w:t>
            </w:r>
          </w:p>
        </w:tc>
      </w:tr>
      <w:tr>
        <w:tc>
          <w:tcPr>
            <w:tcW w:type="dxa" w:w="4703"/>
          </w:tcPr>
          <w:p>
            <w:pPr>
              <w:jc w:val="center"/>
            </w:pPr>
            <w:r/>
            <w:r>
              <w:rPr>
                <w:rFonts w:ascii="Times New Roman" w:hAnsi="Times New Roman"/>
                <w:b w:val="0"/>
                <w:sz w:val="20"/>
              </w:rPr>
              <w:t>Median start delay at OR11 (no overlap)</w:t>
            </w:r>
          </w:p>
        </w:tc>
        <w:tc>
          <w:tcPr>
            <w:tcW w:type="dxa" w:w="4703"/>
          </w:tcPr>
          <w:p>
            <w:pPr>
              <w:jc w:val="center"/>
            </w:pPr>
            <w:r/>
            <w:r>
              <w:rPr>
                <w:rFonts w:ascii="Times New Roman" w:hAnsi="Times New Roman"/>
                <w:b w:val="0"/>
                <w:sz w:val="20"/>
              </w:rPr>
              <w:t>28 min</w:t>
            </w:r>
          </w:p>
        </w:tc>
      </w:tr>
      <w:tr>
        <w:tc>
          <w:tcPr>
            <w:tcW w:type="dxa" w:w="4703"/>
          </w:tcPr>
          <w:p>
            <w:pPr>
              <w:jc w:val="center"/>
            </w:pPr>
            <w:r/>
            <w:r>
              <w:rPr>
                <w:rFonts w:ascii="Times New Roman" w:hAnsi="Times New Roman"/>
                <w:b w:val="0"/>
                <w:sz w:val="20"/>
              </w:rPr>
              <w:t>Median start delay at OR11 (overlap)</w:t>
            </w:r>
          </w:p>
        </w:tc>
        <w:tc>
          <w:tcPr>
            <w:tcW w:type="dxa" w:w="4703"/>
          </w:tcPr>
          <w:p>
            <w:pPr>
              <w:jc w:val="center"/>
            </w:pPr>
            <w:r/>
            <w:r>
              <w:rPr>
                <w:rFonts w:ascii="Times New Roman" w:hAnsi="Times New Roman"/>
                <w:b w:val="0"/>
                <w:sz w:val="20"/>
              </w:rPr>
              <w:t>60 min</w:t>
            </w:r>
          </w:p>
        </w:tc>
      </w:tr>
    </w:tbl>
    <w:p>
      <w:pPr>
        <w:spacing w:after="120" w:line="280" w:lineRule="exact"/>
      </w:pPr>
    </w:p>
    <w:p>
      <w:pPr>
        <w:spacing w:after="120" w:before="0" w:line="480" w:lineRule="exact"/>
        <w:jc w:val="left"/>
      </w:pPr>
      <w:r>
        <w:rPr>
          <w:rFonts w:ascii="Times New Roman" w:hAnsi="Times New Roman"/>
          <w:i/>
          <w:sz w:val="24"/>
        </w:rPr>
        <w:t>Factors not associated with overtime.</w:t>
      </w:r>
      <w:r>
        <w:rPr>
          <w:rFonts w:ascii="Times New Roman" w:hAnsi="Times New Roman"/>
          <w:b w:val="0"/>
          <w:i w:val="0"/>
          <w:sz w:val="24"/>
        </w:rPr>
        <w:t xml:space="preserve"> Inter-case idle time had a median of 8 minutes and a mean of 9.9 minutes, with a 95th percentile of 25 minutes; turnover was not the bottleneck.</w:t>
      </w:r>
      <w:r>
        <w:rPr>
          <w:rFonts w:ascii="Times New Roman" w:hAnsi="Times New Roman"/>
          <w:sz w:val="24"/>
          <w:vertAlign w:val="superscript"/>
        </w:rPr>
        <w:t>22</w:t>
      </w:r>
    </w:p>
    <w:p>
      <w:pPr>
        <w:spacing w:after="120" w:before="0" w:line="480" w:lineRule="exact"/>
        <w:jc w:val="left"/>
      </w:pPr>
      <w:r>
        <w:rPr>
          <w:rFonts w:ascii="Times New Roman" w:hAnsi="Times New Roman"/>
          <w:b w:val="0"/>
          <w:i w:val="0"/>
          <w:sz w:val="24"/>
        </w:rPr>
        <w:t>First-case punctuality showed no consistent association with room-level overtime. OR10 had the lowest late-start rate (46.1% of first cases late) yet the highest overtime (32.9% of cases past the shift boundary). OR14 had a substantially higher late-start rate (78.7%) yet the lowest overtime (3.5%), and OR11 had the highest late-start rate (82.4%) with mid-pack overtime (11.7%). This is consistent with Pandit et al., who reported R-squared values of 0.04 to 0.08 between start and finish times across more than 7,000 operating room lists.</w:t>
      </w:r>
      <w:r>
        <w:rPr>
          <w:rFonts w:ascii="Times New Roman" w:hAnsi="Times New Roman"/>
          <w:sz w:val="24"/>
          <w:vertAlign w:val="superscript"/>
        </w:rPr>
        <w:t>23</w:t>
      </w:r>
    </w:p>
    <w:p>
      <w:pPr>
        <w:spacing w:before="36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single-center analysis of 79,352 cases, overtime was not a diffuse hospital-wide phenomenon. The aggregate rate (9.7%) hid a near ten-fold spread across rooms (3.5 to 32.9%). The factors most visibly associated with the room-level pattern were case-mix complexity and routine urgent-elective overlap; first-case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added roughly 30 minutes to elective start times. This makes urgent arrivals a routine scheduling factor rather than an exception. Protecting the elective program from this disruption, through dedicated urgent rooms or scheduling buffers, may be more effective than reactive rescheduling.</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Operational implication. Room-level monitoring should sit ahead of hospital-wide overtime targets, and scheduling should treat urgent-case flow as a routine planning input rather than as an exception.</w:t>
      </w:r>
    </w:p>
    <w:p>
      <w:pPr>
        <w:spacing w:after="120" w:before="0" w:line="480" w:lineRule="exact"/>
        <w:jc w:val="left"/>
      </w:pPr>
      <w:r>
        <w:rPr>
          <w:rFonts w:ascii="Times New Roman" w:hAnsi="Times New Roman"/>
          <w:b w:val="0"/>
          <w:i w:val="0"/>
          <w:sz w:val="24"/>
        </w:rPr>
        <w:t>Clinical implication. The overtime we document is the same exposure that other studies have linked to staff fatigue and to elevated after-hours mortality and complication risk (Introduction; references 2-13). Whether those associations hold in this cohort is the question Phase 2 of this program will address by linking the operational patterns we describe to outcome data.</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The administrative data provide room-in and room-out times only, so we cannot decompose what happens inside the case. We do not measure patient or staff outcomes directly; the harm argument rests on published literature, not on complications or burnout scores from this cohort. The urgency flag is set at booking, and we cannot distinguish truly emergent cases from semi-urgent or add-on elective cases.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urgent-elective overlap as the most visible associated factors. First-case punctuality and inter-case idle time were not associated with room-level overtime. The findings support room-level rather than hospital-level overtime monitoring and scheduling interventions that account for urgent-case flow. Phase 2 of this research program will link the operational patterns to patient outcome data.</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Patients were not involved in the design, conduct, or reporting of this study.</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3.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4.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5.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6.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7.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8.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9.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10.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11.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12.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13.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