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single-center study</w:t>
      </w:r>
    </w:p>
    <w:p>
      <w:pPr>
        <w:spacing w:after="120" w:before="0" w:line="480" w:lineRule="exact"/>
        <w:jc w:val="left"/>
      </w:pPr>
      <w:r>
        <w:rPr>
          <w:rFonts w:ascii="Times New Roman" w:hAnsi="Times New Roman"/>
          <w:b w:val="0"/>
          <w:i w:val="0"/>
          <w:sz w:val="24"/>
        </w:rPr>
        <w:t>Maxim Riebus, Haroon Tharwat, Niels Martin, Ben Van Bylen, and Dieter Mesotten</w:t>
      </w:r>
    </w:p>
    <w:p>
      <w:pPr>
        <w:spacing w:after="120" w:before="120" w:line="480" w:lineRule="exact"/>
        <w:jc w:val="left"/>
      </w:pPr>
      <w:r>
        <w:rPr>
          <w:rFonts w:ascii="Times New Roman" w:hAnsi="Times New Roman"/>
          <w:b w:val="0"/>
          <w:i/>
          <w:sz w:val="24"/>
        </w:rPr>
        <w:t>[Affiliations to be completed]</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~2,900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elevated patient mortality, staff fatigue, and disproportionate costs. Most studies report overtime as a hospital-wide aggregate, which can obscure where the problem concentrates and misdirect quality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characterize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of administrative operating-room data at a 24/7 tertiary hospital in Belgium operating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Unplanned urgent cases disrupted the elective programme on 68.8% of observation days, associated with a median difference of approximately 30 minutes in elective start times. First-case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At this tertiary hospital, overtime concentrated in a small number of rooms, with case-mix complexity and unplanned urgent-case disruption of the elective programme as the most visible associated factors. Room-level overtime monitoring and scheduling that accounts for urgent-case flow are more practical targets for quality improvement than first-case punctuality alone.</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elevated patient mortality, staff fatigue, and burnout, and imposes disproportionate financial costs.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single-center retrospective analysis of 79,352 surgical cases, overtime concentrated in a small number of rooms, with a nearly ten-fold spread across the same hospital (3.5% to 32.9%). Case-mix complexity and unplanned urgent cases disrupting the elective programme were the factors most visibly associated with room-level overtime; first-case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their schedules rarely align with planned schedules.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Overutilized time is approximately twice as expensive as underutilized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evening or night, when fewer staff are on duty. This is the exposure that a separate body of work studies under the term after-hours surgery, which is defined by the clock time of the operation rather than by a staffing boundary. The two are not identical, but overtime is one of the routes by which scheduled daytime work ends up being performed after hours, so the harms reported for after-hours surgery are relevant to it. After-hours surgery has been linked to elevated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multicenter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same exposure carries documented consequences for staff.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competes for a diminishing set of staffed rooms, staffed by different nursing personnel from those who began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is concentrated in specific rooms within a single hospital, and which operational factors are associated with it, have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Belgian tertiary hospital to improve OR performance. We analyze scheduled-versus-observed performance from administrative data and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first-case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center in Belgium performing more than 22,000 surgical procedures per year. It operates 18 surgical operating rooms and 7 interventional operating rooms. The surgical staff includes 195 surgeons and 207 anesthesiologists (including trainees and fellows), covering all surgical specialties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(elective versus non-elective),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utilization,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first-case start-time deviation per room, inter-case idle time, and room swaps. We also computed Spearman rank correlations across the 18 rooms between room-level overtime rate and two candidate factors: first-case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de-identified administrative data, no patient or public involvement in the design, conduct, or reporting of this study was applicable.</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anesthesiologists, and included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or emergency surgery. The year-on-year trend showed gradual improvement: 10.0% in 2022, 10.0% in 2023, 9.7% in 2024, and 8.6% in the partial 2025 data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therefore spanned nearly an order of magnitude across rooms in the same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right after the day-shift handover when most of the rooms had already closed.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of similar size and similar frequency, so the planning system showed no consistent bias: bookings were not systematically too tight or too generous, and the schedule could not be corrected by padding every case by a fixed amount. The problem was the spread around these averages. Two cases booked for the same duration could finish well apart, and that variability, rather than a tendency to under-book, is what pushes a list past its boundary.</w:t>
      </w:r>
    </w:p>
    <w:p>
      <w:pPr>
        <w:spacing w:after="120" w:before="0" w:line="480" w:lineRule="exact"/>
        <w:jc w:val="left"/>
      </w:pPr>
      <w:r>
        <w:rPr>
          <w:rFonts w:ascii="Times New Roman" w:hAnsi="Times New Roman"/>
          <w:b w:val="0"/>
          <w:i w:val="0"/>
          <w:sz w:val="24"/>
        </w:rPr>
        <w:t>We measured the spread with the coefficient of variation (CV), the standard deviation of duration divided by its mean, which puts cases of different lengths on a comparable scale. Observed-duration CV was highest for short cases (0.54 for under 30 minutes), lowest for mid-length cases (about 0.35 for 61 to 180 minutes), and intermediate for the longest cases (0.42 for over 180 minutes); short cases are proportionally the most variable because a few extra minutes is a large fraction of a brief booking. The CV of the planning error itself was higher still, reaching 1.84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Per case, urgent surgery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w:t>
      </w:r>
    </w:p>
    <w:p>
      <w:pPr>
        <w:spacing w:after="120" w:before="0" w:line="480" w:lineRule="exact"/>
        <w:jc w:val="left"/>
      </w:pPr>
      <w:r>
        <w:rPr>
          <w:rFonts w:ascii="Times New Roman" w:hAnsi="Times New Roman"/>
          <w:b w:val="0"/>
          <w:i w:val="0"/>
          <w:sz w:val="24"/>
        </w:rPr>
        <w:t>To assess whether urgent cases disrupt the elective program,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Table 2B). On days with overlap, elective cases started later than on days without, a median difference of approximately 30 minutes, a gap that reached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First-case punctuality.</w:t>
      </w:r>
      <w:r>
        <w:rPr>
          <w:rFonts w:ascii="Times New Roman" w:hAnsi="Times New Roman"/>
          <w:b w:val="0"/>
          <w:i w:val="0"/>
          <w:sz w:val="24"/>
        </w:rPr>
        <w:t xml:space="preserve"> Across all 18 rooms, late-start rate showed no significant correlation with room-level overtime rate (Spearman rho = −0.29, p = 0.24). The direction of the association was negative: rooms with higher late-start rates tended to have lower overtime rates rather than higher ones. OR10 had the lowest late-start rate of all 18 rooms (46.1%) yet the highest overtime rate (32.9%); OR14 had a late-start rate of 78.7% yet the lowest overtime rate (3.5%); OR11 had the highest late-start rate (82.4%) with a mid-range overtime rate (11.7%). This is consistent with Pandit et al., who reported R-squared values of 0.04 to 0.08 between start and finish times across more than 7,000 operating room lists.</w:t>
      </w:r>
      <w:r>
        <w:rPr>
          <w:rFonts w:ascii="Times New Roman" w:hAnsi="Times New Roman"/>
          <w:sz w:val="24"/>
          <w:vertAlign w:val="superscript"/>
        </w:rPr>
        <w:t>23</w:t>
      </w:r>
      <w:r>
        <w:rPr>
          <w:rFonts w:ascii="Times New Roman" w:hAnsi="Times New Roman"/>
          <w:b w:val="0"/>
          <w:i w:val="0"/>
          <w:sz w:val="24"/>
        </w:rPr>
        <w:t xml:space="preserve"> First-case punctuality was therefore not associated with where overtime accumulates at the room level.</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was positively correlated with overtime rate (Spearman rho = 0.89, p &lt; 0.001), driven largely by OR10, which had both the highest mean idle time (22.6 minutes) and the highest overtime rate (32.9%). Excluding OR10, the pattern did not hold consistently across the remaining rooms. The elevated idle time in OR10 most plausibly reflects preparation demands between complex cardiac cases rather than inefficient turnover, and is better understood as a marker of case-mix complexity than as a scheduling inefficiency.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single-center analysis of 79,352 cases, overtime was not a diffuse hospital-wide phenomenon. The aggregate rate (9.7%) hid a near ten-fold spread across rooms (3.5 to 32.9%). The factors most visibly associated with the room-level pattern were case-mix complexity and routine urgent-elective overlap; first-case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This makes urgent arrivals a routine scheduling factor rather than an exception. The hospital already operates dedicated rooms for urgent cases, yet this overlap still occurs, so protecting the elective program may require additional scheduling buffers or capacity reallocation rather than reactive rescheduling alone.</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At the room level, our data do not show that relationship: late-start rate and overtime rate were not significantly correlated (Spearman rho = −0.29, p = 0.24), and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is operationally comparable to the exposure that other studies have linked to staff fatigue, elevated after-hours mortality, and increased complication risk (references 2–13). Whether these harms are present in this cohort cannot be determined from administrative data alone; direct measurement of patient and staff outcomes associated with room-level overtime remains an important next step for future research.</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it is unknown whether the concentration pattern holds across hospitals with different staffing models.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unplanned urgent-case disruption of the elective programme as the most strongly associated factors. First-case punctuality and inter-case idle time were not associated with room-level overtime.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ordered ascending. Panel B: mean overtime duration per room (minutes), with the hospital-wide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TABLES</w:t>
      </w:r>
    </w:p>
    <w:p>
      <w:pPr>
        <w:spacing w:after="120" w:before="0" w:line="480" w:lineRule="exact"/>
        <w:jc w:val="left"/>
      </w:pPr>
      <w:r>
        <w:rPr>
          <w:rFonts w:ascii="Times New Roman" w:hAnsi="Times New Roman"/>
          <w:b/>
          <w:sz w:val="24"/>
        </w:rPr>
        <w:t>Supplementary Table S1. Summary of cited literature.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60" w:lineRule="exact" w:after="0"/>
            </w:pPr>
            <w:r/>
            <w:r>
              <w:rPr>
                <w:rFonts w:ascii="Times New Roman" w:hAnsi="Times New Roman"/>
                <w:b/>
                <w:i w:val="0"/>
                <w:sz w:val="22"/>
              </w:rPr>
              <w:t>Ref</w:t>
            </w:r>
          </w:p>
        </w:tc>
        <w:tc>
          <w:tcPr>
            <w:tcW w:type="dxa" w:w="1568"/>
          </w:tcPr>
          <w:p>
            <w:pPr>
              <w:spacing w:line="260" w:lineRule="exact" w:after="0"/>
            </w:pPr>
            <w:r/>
            <w:r>
              <w:rPr>
                <w:rFonts w:ascii="Times New Roman" w:hAnsi="Times New Roman"/>
                <w:b/>
                <w:i w:val="0"/>
                <w:sz w:val="22"/>
              </w:rPr>
              <w:t>First author (year)</w:t>
            </w:r>
          </w:p>
        </w:tc>
        <w:tc>
          <w:tcPr>
            <w:tcW w:type="dxa" w:w="1568"/>
          </w:tcPr>
          <w:p>
            <w:pPr>
              <w:spacing w:line="260" w:lineRule="exact" w:after="0"/>
            </w:pPr>
            <w:r/>
            <w:r>
              <w:rPr>
                <w:rFonts w:ascii="Times New Roman" w:hAnsi="Times New Roman"/>
                <w:b/>
                <w:i w:val="0"/>
                <w:sz w:val="22"/>
              </w:rPr>
              <w:t>Design</w:t>
            </w:r>
          </w:p>
        </w:tc>
        <w:tc>
          <w:tcPr>
            <w:tcW w:type="dxa" w:w="1568"/>
          </w:tcPr>
          <w:p>
            <w:pPr>
              <w:spacing w:line="260" w:lineRule="exact" w:after="0"/>
            </w:pPr>
            <w:r/>
            <w:r>
              <w:rPr>
                <w:rFonts w:ascii="Times New Roman" w:hAnsi="Times New Roman"/>
                <w:b/>
                <w:i w:val="0"/>
                <w:sz w:val="22"/>
              </w:rPr>
              <w:t>Sample / scope</w:t>
            </w:r>
          </w:p>
        </w:tc>
        <w:tc>
          <w:tcPr>
            <w:tcW w:type="dxa" w:w="1568"/>
          </w:tcPr>
          <w:p>
            <w:pPr>
              <w:spacing w:line="260" w:lineRule="exact" w:after="0"/>
            </w:pPr>
            <w:r/>
            <w:r>
              <w:rPr>
                <w:rFonts w:ascii="Times New Roman" w:hAnsi="Times New Roman"/>
                <w:b/>
                <w:i w:val="0"/>
                <w:sz w:val="22"/>
              </w:rPr>
              <w:t>Key finding</w:t>
            </w:r>
          </w:p>
        </w:tc>
        <w:tc>
          <w:tcPr>
            <w:tcW w:type="dxa" w:w="1568"/>
          </w:tcPr>
          <w:p>
            <w:pPr>
              <w:spacing w:line="260" w:lineRule="exact" w:after="0"/>
            </w:pPr>
            <w:r/>
            <w:r>
              <w:rPr>
                <w:rFonts w:ascii="Times New Roman" w:hAnsi="Times New Roman"/>
                <w:b/>
                <w:i w:val="0"/>
                <w:sz w:val="22"/>
              </w:rPr>
              <w:t>Role in this paper</w:t>
            </w:r>
          </w:p>
        </w:tc>
      </w:tr>
      <w:tr>
        <w:tc>
          <w:tcPr>
            <w:tcW w:type="dxa" w:w="1568"/>
          </w:tcPr>
          <w:p>
            <w:pPr>
              <w:spacing w:line="260" w:lineRule="exact" w:after="0"/>
            </w:pPr>
            <w:r/>
            <w:r>
              <w:rPr>
                <w:rFonts w:ascii="Times New Roman" w:hAnsi="Times New Roman"/>
                <w:b w:val="0"/>
                <w:i w:val="0"/>
                <w:sz w:val="22"/>
              </w:rPr>
              <w:t>1</w:t>
            </w:r>
          </w:p>
        </w:tc>
        <w:tc>
          <w:tcPr>
            <w:tcW w:type="dxa" w:w="1568"/>
          </w:tcPr>
          <w:p>
            <w:pPr>
              <w:spacing w:line="260" w:lineRule="exact" w:after="0"/>
            </w:pPr>
            <w:r/>
            <w:r>
              <w:rPr>
                <w:rFonts w:ascii="Times New Roman" w:hAnsi="Times New Roman"/>
                <w:b w:val="0"/>
                <w:i w:val="0"/>
                <w:sz w:val="22"/>
              </w:rPr>
              <w:t>Wachtel (2010)</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Newsvendor experiments for OR management</w:t>
            </w:r>
          </w:p>
        </w:tc>
        <w:tc>
          <w:tcPr>
            <w:tcW w:type="dxa" w:w="1568"/>
          </w:tcPr>
          <w:p>
            <w:pPr>
              <w:spacing w:line="260" w:lineRule="exact" w:after="0"/>
            </w:pPr>
            <w:r/>
            <w:r>
              <w:rPr>
                <w:rFonts w:ascii="Times New Roman" w:hAnsi="Times New Roman"/>
                <w:b w:val="0"/>
                <w:i w:val="0"/>
                <w:sz w:val="22"/>
              </w:rPr>
              <w:t>Overutilized time costs approximately twice as much as underutilized time</w:t>
            </w:r>
          </w:p>
        </w:tc>
        <w:tc>
          <w:tcPr>
            <w:tcW w:type="dxa" w:w="1568"/>
          </w:tcPr>
          <w:p>
            <w:pPr>
              <w:spacing w:line="260" w:lineRule="exact" w:after="0"/>
            </w:pPr>
            <w:r/>
            <w:r>
              <w:rPr>
                <w:rFonts w:ascii="Times New Roman" w:hAnsi="Times New Roman"/>
                <w:b w:val="0"/>
                <w:i w:val="0"/>
                <w:sz w:val="22"/>
              </w:rPr>
              <w:t>Establishes cost asymmetry of overtime</w:t>
            </w:r>
          </w:p>
        </w:tc>
      </w:tr>
      <w:tr>
        <w:tc>
          <w:tcPr>
            <w:tcW w:type="dxa" w:w="1568"/>
          </w:tcPr>
          <w:p>
            <w:pPr>
              <w:spacing w:line="260" w:lineRule="exact" w:after="0"/>
            </w:pPr>
            <w:r/>
            <w:r>
              <w:rPr>
                <w:rFonts w:ascii="Times New Roman" w:hAnsi="Times New Roman"/>
                <w:b w:val="0"/>
                <w:i w:val="0"/>
                <w:sz w:val="22"/>
              </w:rPr>
              <w:t>2</w:t>
            </w:r>
          </w:p>
        </w:tc>
        <w:tc>
          <w:tcPr>
            <w:tcW w:type="dxa" w:w="1568"/>
          </w:tcPr>
          <w:p>
            <w:pPr>
              <w:spacing w:line="260" w:lineRule="exact" w:after="0"/>
            </w:pPr>
            <w:r/>
            <w:r>
              <w:rPr>
                <w:rFonts w:ascii="Times New Roman" w:hAnsi="Times New Roman"/>
                <w:b w:val="0"/>
                <w:i w:val="0"/>
                <w:sz w:val="22"/>
              </w:rPr>
              <w:t>Griffiths (2014)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33,659 nurses, 12 European countries</w:t>
            </w:r>
          </w:p>
        </w:tc>
        <w:tc>
          <w:tcPr>
            <w:tcW w:type="dxa" w:w="1568"/>
          </w:tcPr>
          <w:p>
            <w:pPr>
              <w:spacing w:line="260" w:lineRule="exact" w:after="0"/>
            </w:pPr>
            <w:r/>
            <w:r>
              <w:rPr>
                <w:rFonts w:ascii="Times New Roman" w:hAnsi="Times New Roman"/>
                <w:b w:val="0"/>
                <w:i w:val="0"/>
                <w:sz w:val="22"/>
              </w:rPr>
              <w:t>Overtime and long shifts associated with poorer perceived quality of care and higher patient safety risk</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3</w:t>
            </w:r>
          </w:p>
        </w:tc>
        <w:tc>
          <w:tcPr>
            <w:tcW w:type="dxa" w:w="1568"/>
          </w:tcPr>
          <w:p>
            <w:pPr>
              <w:spacing w:line="260" w:lineRule="exact" w:after="0"/>
            </w:pPr>
            <w:r/>
            <w:r>
              <w:rPr>
                <w:rFonts w:ascii="Times New Roman" w:hAnsi="Times New Roman"/>
                <w:b w:val="0"/>
                <w:i w:val="0"/>
                <w:sz w:val="22"/>
              </w:rPr>
              <w:t>Dall'Ora (2015)</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Same RN4CAST dataset as ref 2</w:t>
            </w:r>
          </w:p>
        </w:tc>
        <w:tc>
          <w:tcPr>
            <w:tcW w:type="dxa" w:w="1568"/>
          </w:tcPr>
          <w:p>
            <w:pPr>
              <w:spacing w:line="260" w:lineRule="exact" w:after="0"/>
            </w:pPr>
            <w:r/>
            <w:r>
              <w:rPr>
                <w:rFonts w:ascii="Times New Roman" w:hAnsi="Times New Roman"/>
                <w:b w:val="0"/>
                <w:i w:val="0"/>
                <w:sz w:val="22"/>
              </w:rPr>
              <w:t>12-hour shifts associated with burnout (OR 1.26) and intent to leave (OR 1.13)</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4</w:t>
            </w:r>
          </w:p>
        </w:tc>
        <w:tc>
          <w:tcPr>
            <w:tcW w:type="dxa" w:w="1568"/>
          </w:tcPr>
          <w:p>
            <w:pPr>
              <w:spacing w:line="260" w:lineRule="exact" w:after="0"/>
            </w:pPr>
            <w:r/>
            <w:r>
              <w:rPr>
                <w:rFonts w:ascii="Times New Roman" w:hAnsi="Times New Roman"/>
                <w:b w:val="0"/>
                <w:i w:val="0"/>
                <w:sz w:val="22"/>
              </w:rPr>
              <w:t>Bae (2024)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264 nurses, South Korean acute care hospitals</w:t>
            </w:r>
          </w:p>
        </w:tc>
        <w:tc>
          <w:tcPr>
            <w:tcW w:type="dxa" w:w="1568"/>
          </w:tcPr>
          <w:p>
            <w:pPr>
              <w:spacing w:line="260" w:lineRule="exact" w:after="0"/>
            </w:pPr>
            <w:r/>
            <w:r>
              <w:rPr>
                <w:rFonts w:ascii="Times New Roman" w:hAnsi="Times New Roman"/>
                <w:b w:val="0"/>
                <w:i w:val="0"/>
                <w:sz w:val="22"/>
              </w:rPr>
              <w:t>Mandatory overtime associated with intent to leave</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5</w:t>
            </w:r>
          </w:p>
        </w:tc>
        <w:tc>
          <w:tcPr>
            <w:tcW w:type="dxa" w:w="1568"/>
          </w:tcPr>
          <w:p>
            <w:pPr>
              <w:spacing w:line="260" w:lineRule="exact" w:after="0"/>
            </w:pPr>
            <w:r/>
            <w:r>
              <w:rPr>
                <w:rFonts w:ascii="Times New Roman" w:hAnsi="Times New Roman"/>
                <w:b w:val="0"/>
                <w:i w:val="0"/>
                <w:sz w:val="22"/>
              </w:rPr>
              <w:t>Dall'Ora (2016)</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13 studies on shift characteristics</w:t>
            </w:r>
          </w:p>
        </w:tc>
        <w:tc>
          <w:tcPr>
            <w:tcW w:type="dxa" w:w="1568"/>
          </w:tcPr>
          <w:p>
            <w:pPr>
              <w:spacing w:line="260" w:lineRule="exact" w:after="0"/>
            </w:pPr>
            <w:r/>
            <w:r>
              <w:rPr>
                <w:rFonts w:ascii="Times New Roman" w:hAnsi="Times New Roman"/>
                <w:b w:val="0"/>
                <w:i w:val="0"/>
                <w:sz w:val="22"/>
              </w:rPr>
              <w:t>Both long shifts and overtime associated with worse performance and well-being</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6</w:t>
            </w:r>
          </w:p>
        </w:tc>
        <w:tc>
          <w:tcPr>
            <w:tcW w:type="dxa" w:w="1568"/>
          </w:tcPr>
          <w:p>
            <w:pPr>
              <w:spacing w:line="260" w:lineRule="exact" w:after="0"/>
            </w:pPr>
            <w:r/>
            <w:r>
              <w:rPr>
                <w:rFonts w:ascii="Times New Roman" w:hAnsi="Times New Roman"/>
                <w:b w:val="0"/>
                <w:i w:val="0"/>
                <w:sz w:val="22"/>
              </w:rPr>
              <w:t>Dall'Ora (2020)</w:t>
            </w:r>
          </w:p>
        </w:tc>
        <w:tc>
          <w:tcPr>
            <w:tcW w:type="dxa" w:w="1568"/>
          </w:tcPr>
          <w:p>
            <w:pPr>
              <w:spacing w:line="260" w:lineRule="exact" w:after="0"/>
            </w:pPr>
            <w:r/>
            <w:r>
              <w:rPr>
                <w:rFonts w:ascii="Times New Roman" w:hAnsi="Times New Roman"/>
                <w:b w:val="0"/>
                <w:i w:val="0"/>
                <w:sz w:val="22"/>
              </w:rPr>
              <w:t>Theoretical review</w:t>
            </w:r>
          </w:p>
        </w:tc>
        <w:tc>
          <w:tcPr>
            <w:tcW w:type="dxa" w:w="1568"/>
          </w:tcPr>
          <w:p>
            <w:pPr>
              <w:spacing w:line="260" w:lineRule="exact" w:after="0"/>
            </w:pPr>
            <w:r/>
            <w:r>
              <w:rPr>
                <w:rFonts w:ascii="Times New Roman" w:hAnsi="Times New Roman"/>
                <w:b w:val="0"/>
                <w:i w:val="0"/>
                <w:sz w:val="22"/>
              </w:rPr>
              <w:t>Burnout models in nursing</w:t>
            </w:r>
          </w:p>
        </w:tc>
        <w:tc>
          <w:tcPr>
            <w:tcW w:type="dxa" w:w="1568"/>
          </w:tcPr>
          <w:p>
            <w:pPr>
              <w:spacing w:line="260" w:lineRule="exact" w:after="0"/>
            </w:pPr>
            <w:r/>
            <w:r>
              <w:rPr>
                <w:rFonts w:ascii="Times New Roman" w:hAnsi="Times New Roman"/>
                <w:b w:val="0"/>
                <w:i w:val="0"/>
                <w:sz w:val="22"/>
              </w:rPr>
              <w:t>High workload combined with low decision latitude is an established burnout predictor</w:t>
            </w:r>
          </w:p>
        </w:tc>
        <w:tc>
          <w:tcPr>
            <w:tcW w:type="dxa" w:w="1568"/>
          </w:tcPr>
          <w:p>
            <w:pPr>
              <w:spacing w:line="260" w:lineRule="exact" w:after="0"/>
            </w:pPr>
            <w:r/>
            <w:r>
              <w:rPr>
                <w:rFonts w:ascii="Times New Roman" w:hAnsi="Times New Roman"/>
                <w:b w:val="0"/>
                <w:i w:val="0"/>
                <w:sz w:val="22"/>
              </w:rPr>
              <w:t>Burnout mechanism</w:t>
            </w:r>
          </w:p>
        </w:tc>
      </w:tr>
      <w:tr>
        <w:tc>
          <w:tcPr>
            <w:tcW w:type="dxa" w:w="1568"/>
          </w:tcPr>
          <w:p>
            <w:pPr>
              <w:spacing w:line="260" w:lineRule="exact" w:after="0"/>
            </w:pPr>
            <w:r/>
            <w:r>
              <w:rPr>
                <w:rFonts w:ascii="Times New Roman" w:hAnsi="Times New Roman"/>
                <w:b w:val="0"/>
                <w:i w:val="0"/>
                <w:sz w:val="22"/>
              </w:rPr>
              <w:t>7</w:t>
            </w:r>
          </w:p>
        </w:tc>
        <w:tc>
          <w:tcPr>
            <w:tcW w:type="dxa" w:w="1568"/>
          </w:tcPr>
          <w:p>
            <w:pPr>
              <w:spacing w:line="260" w:lineRule="exact" w:after="0"/>
            </w:pPr>
            <w:r/>
            <w:r>
              <w:rPr>
                <w:rFonts w:ascii="Times New Roman" w:hAnsi="Times New Roman"/>
                <w:b w:val="0"/>
                <w:i w:val="0"/>
                <w:sz w:val="22"/>
              </w:rPr>
              <w:t>Cortegiani (2020)</w:t>
            </w:r>
          </w:p>
        </w:tc>
        <w:tc>
          <w:tcPr>
            <w:tcW w:type="dxa" w:w="1568"/>
          </w:tcPr>
          <w:p>
            <w:pPr>
              <w:spacing w:line="260" w:lineRule="exact" w:after="0"/>
            </w:pPr>
            <w:r/>
            <w:r>
              <w:rPr>
                <w:rFonts w:ascii="Times New Roman" w:hAnsi="Times New Roman"/>
                <w:b w:val="0"/>
                <w:i w:val="0"/>
                <w:sz w:val="22"/>
              </w:rPr>
              <w:t>Systematic review and meta-analysis</w:t>
            </w:r>
          </w:p>
        </w:tc>
        <w:tc>
          <w:tcPr>
            <w:tcW w:type="dxa" w:w="1568"/>
          </w:tcPr>
          <w:p>
            <w:pPr>
              <w:spacing w:line="260" w:lineRule="exact" w:after="0"/>
            </w:pPr>
            <w:r/>
            <w:r>
              <w:rPr>
                <w:rFonts w:ascii="Times New Roman" w:hAnsi="Times New Roman"/>
                <w:b w:val="0"/>
                <w:i w:val="0"/>
                <w:sz w:val="22"/>
              </w:rPr>
              <w:t>13 studies, after-hours vs daytime surgery</w:t>
            </w:r>
          </w:p>
        </w:tc>
        <w:tc>
          <w:tcPr>
            <w:tcW w:type="dxa" w:w="1568"/>
          </w:tcPr>
          <w:p>
            <w:pPr>
              <w:spacing w:line="260" w:lineRule="exact" w:after="0"/>
            </w:pPr>
            <w:r/>
            <w:r>
              <w:rPr>
                <w:rFonts w:ascii="Times New Roman" w:hAnsi="Times New Roman"/>
                <w:b w:val="0"/>
                <w:i w:val="0"/>
                <w:sz w:val="22"/>
              </w:rPr>
              <w:t>After-hours surgery associated with elevated mortality (adjusted OR 1.16, 95% CI 1.06–1.28); low-certainty evidence</w:t>
            </w:r>
          </w:p>
        </w:tc>
        <w:tc>
          <w:tcPr>
            <w:tcW w:type="dxa" w:w="1568"/>
          </w:tcPr>
          <w:p>
            <w:pPr>
              <w:spacing w:line="260" w:lineRule="exact" w:after="0"/>
            </w:pPr>
            <w:r/>
            <w:r>
              <w:rPr>
                <w:rFonts w:ascii="Times New Roman" w:hAnsi="Times New Roman"/>
                <w:b w:val="0"/>
                <w:i w:val="0"/>
                <w:sz w:val="22"/>
              </w:rPr>
              <w:t>Patient-harm evidence, primary mortality estimate</w:t>
            </w:r>
          </w:p>
        </w:tc>
      </w:tr>
      <w:tr>
        <w:tc>
          <w:tcPr>
            <w:tcW w:type="dxa" w:w="1568"/>
          </w:tcPr>
          <w:p>
            <w:pPr>
              <w:spacing w:line="260" w:lineRule="exact" w:after="0"/>
            </w:pPr>
            <w:r/>
            <w:r>
              <w:rPr>
                <w:rFonts w:ascii="Times New Roman" w:hAnsi="Times New Roman"/>
                <w:b w:val="0"/>
                <w:i w:val="0"/>
                <w:sz w:val="22"/>
              </w:rPr>
              <w:t>8</w:t>
            </w:r>
          </w:p>
        </w:tc>
        <w:tc>
          <w:tcPr>
            <w:tcW w:type="dxa" w:w="1568"/>
          </w:tcPr>
          <w:p>
            <w:pPr>
              <w:spacing w:line="260" w:lineRule="exact" w:after="0"/>
            </w:pPr>
            <w:r/>
            <w:r>
              <w:rPr>
                <w:rFonts w:ascii="Times New Roman" w:hAnsi="Times New Roman"/>
                <w:b w:val="0"/>
                <w:i w:val="0"/>
                <w:sz w:val="22"/>
              </w:rPr>
              <w:t>Oh (2025)</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281,717 propensity-matched patients, South Korea</w:t>
            </w:r>
          </w:p>
        </w:tc>
        <w:tc>
          <w:tcPr>
            <w:tcW w:type="dxa" w:w="1568"/>
          </w:tcPr>
          <w:p>
            <w:pPr>
              <w:spacing w:line="260" w:lineRule="exact" w:after="0"/>
            </w:pPr>
            <w:r/>
            <w:r>
              <w:rPr>
                <w:rFonts w:ascii="Times New Roman" w:hAnsi="Times New Roman"/>
                <w:b w:val="0"/>
                <w:i w:val="0"/>
                <w:sz w:val="22"/>
              </w:rPr>
              <w:t>After-hours surgery associated with mortality (OR 3.58)</w:t>
            </w:r>
          </w:p>
        </w:tc>
        <w:tc>
          <w:tcPr>
            <w:tcW w:type="dxa" w:w="1568"/>
          </w:tcPr>
          <w:p>
            <w:pPr>
              <w:spacing w:line="260" w:lineRule="exact" w:after="0"/>
            </w:pPr>
            <w:r/>
            <w:r>
              <w:rPr>
                <w:rFonts w:ascii="Times New Roman" w:hAnsi="Times New Roman"/>
                <w:b w:val="0"/>
                <w:i w:val="0"/>
                <w:sz w:val="22"/>
              </w:rPr>
              <w:t>Patient-harm evidence, upper-bound estimate</w:t>
            </w:r>
          </w:p>
        </w:tc>
      </w:tr>
      <w:tr>
        <w:tc>
          <w:tcPr>
            <w:tcW w:type="dxa" w:w="1568"/>
          </w:tcPr>
          <w:p>
            <w:pPr>
              <w:spacing w:line="260" w:lineRule="exact" w:after="0"/>
            </w:pPr>
            <w:r/>
            <w:r>
              <w:rPr>
                <w:rFonts w:ascii="Times New Roman" w:hAnsi="Times New Roman"/>
                <w:b w:val="0"/>
                <w:i w:val="0"/>
                <w:sz w:val="22"/>
              </w:rPr>
              <w:t>9</w:t>
            </w:r>
          </w:p>
        </w:tc>
        <w:tc>
          <w:tcPr>
            <w:tcW w:type="dxa" w:w="1568"/>
          </w:tcPr>
          <w:p>
            <w:pPr>
              <w:spacing w:line="260" w:lineRule="exact" w:after="0"/>
            </w:pPr>
            <w:r/>
            <w:r>
              <w:rPr>
                <w:rFonts w:ascii="Times New Roman" w:hAnsi="Times New Roman"/>
                <w:b w:val="0"/>
                <w:i w:val="0"/>
                <w:sz w:val="22"/>
              </w:rPr>
              <w:t>Sakurai (2025)</w:t>
            </w:r>
          </w:p>
        </w:tc>
        <w:tc>
          <w:tcPr>
            <w:tcW w:type="dxa" w:w="1568"/>
          </w:tcPr>
          <w:p>
            <w:pPr>
              <w:spacing w:line="260" w:lineRule="exact" w:after="0"/>
            </w:pPr>
            <w:r/>
            <w:r>
              <w:rPr>
                <w:rFonts w:ascii="Times New Roman" w:hAnsi="Times New Roman"/>
                <w:b w:val="0"/>
                <w:i w:val="0"/>
                <w:sz w:val="22"/>
              </w:rPr>
              <w:t>Correspondence / commentary</w:t>
            </w:r>
          </w:p>
        </w:tc>
        <w:tc>
          <w:tcPr>
            <w:tcW w:type="dxa" w:w="1568"/>
          </w:tcPr>
          <w:p>
            <w:pPr>
              <w:spacing w:line="260" w:lineRule="exact" w:after="0"/>
            </w:pPr>
            <w:r/>
            <w:r>
              <w:rPr>
                <w:rFonts w:ascii="Times New Roman" w:hAnsi="Times New Roman"/>
                <w:b w:val="0"/>
                <w:i w:val="0"/>
                <w:sz w:val="22"/>
              </w:rPr>
              <w:t>Response to ref 8</w:t>
            </w:r>
          </w:p>
        </w:tc>
        <w:tc>
          <w:tcPr>
            <w:tcW w:type="dxa" w:w="1568"/>
          </w:tcPr>
          <w:p>
            <w:pPr>
              <w:spacing w:line="260" w:lineRule="exact" w:after="0"/>
            </w:pPr>
            <w:r/>
            <w:r>
              <w:rPr>
                <w:rFonts w:ascii="Times New Roman" w:hAnsi="Times New Roman"/>
                <w:b w:val="0"/>
                <w:i w:val="0"/>
                <w:sz w:val="22"/>
              </w:rPr>
              <w:t>Challenges ref 8 on residual confounding grounds</w:t>
            </w:r>
          </w:p>
        </w:tc>
        <w:tc>
          <w:tcPr>
            <w:tcW w:type="dxa" w:w="1568"/>
          </w:tcPr>
          <w:p>
            <w:pPr>
              <w:spacing w:line="260" w:lineRule="exact" w:after="0"/>
            </w:pPr>
            <w:r/>
            <w:r>
              <w:rPr>
                <w:rFonts w:ascii="Times New Roman" w:hAnsi="Times New Roman"/>
                <w:b w:val="0"/>
                <w:i w:val="0"/>
                <w:sz w:val="22"/>
              </w:rPr>
              <w:t>Qualifies the mortality evidence</w:t>
            </w:r>
          </w:p>
        </w:tc>
      </w:tr>
      <w:tr>
        <w:tc>
          <w:tcPr>
            <w:tcW w:type="dxa" w:w="1568"/>
          </w:tcPr>
          <w:p>
            <w:pPr>
              <w:spacing w:line="260" w:lineRule="exact" w:after="0"/>
            </w:pPr>
            <w:r/>
            <w:r>
              <w:rPr>
                <w:rFonts w:ascii="Times New Roman" w:hAnsi="Times New Roman"/>
                <w:b w:val="0"/>
                <w:i w:val="0"/>
                <w:sz w:val="22"/>
              </w:rPr>
              <w:t>10</w:t>
            </w:r>
          </w:p>
        </w:tc>
        <w:tc>
          <w:tcPr>
            <w:tcW w:type="dxa" w:w="1568"/>
          </w:tcPr>
          <w:p>
            <w:pPr>
              <w:spacing w:line="260" w:lineRule="exact" w:after="0"/>
            </w:pPr>
            <w:r/>
            <w:r>
              <w:rPr>
                <w:rFonts w:ascii="Times New Roman" w:hAnsi="Times New Roman"/>
                <w:b w:val="0"/>
                <w:i w:val="0"/>
                <w:sz w:val="22"/>
              </w:rPr>
              <w:t>Saager (2014)</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927,307 cases, Cleveland Clinic</w:t>
            </w:r>
          </w:p>
        </w:tc>
        <w:tc>
          <w:tcPr>
            <w:tcW w:type="dxa" w:w="1568"/>
          </w:tcPr>
          <w:p>
            <w:pPr>
              <w:spacing w:line="260" w:lineRule="exact" w:after="0"/>
            </w:pPr>
            <w:r/>
            <w:r>
              <w:rPr>
                <w:rFonts w:ascii="Times New Roman" w:hAnsi="Times New Roman"/>
                <w:b w:val="0"/>
                <w:i w:val="0"/>
                <w:sz w:val="22"/>
              </w:rPr>
              <w:t>Each intraoperative anesthesia handover raises complication risk; incidence 8.8% at zero transitions to 21.2% at four or more</w:t>
            </w:r>
          </w:p>
        </w:tc>
        <w:tc>
          <w:tcPr>
            <w:tcW w:type="dxa" w:w="1568"/>
          </w:tcPr>
          <w:p>
            <w:pPr>
              <w:spacing w:line="260" w:lineRule="exact" w:after="0"/>
            </w:pPr>
            <w:r/>
            <w:r>
              <w:rPr>
                <w:rFonts w:ascii="Times New Roman" w:hAnsi="Times New Roman"/>
                <w:b w:val="0"/>
                <w:i w:val="0"/>
                <w:sz w:val="22"/>
              </w:rPr>
              <w:t>Handover-harm mechanism</w:t>
            </w:r>
          </w:p>
        </w:tc>
      </w:tr>
      <w:tr>
        <w:tc>
          <w:tcPr>
            <w:tcW w:type="dxa" w:w="1568"/>
          </w:tcPr>
          <w:p>
            <w:pPr>
              <w:spacing w:line="260" w:lineRule="exact" w:after="0"/>
            </w:pPr>
            <w:r/>
            <w:r>
              <w:rPr>
                <w:rFonts w:ascii="Times New Roman" w:hAnsi="Times New Roman"/>
                <w:b w:val="0"/>
                <w:i w:val="0"/>
                <w:sz w:val="22"/>
              </w:rPr>
              <w:t>11</w:t>
            </w:r>
          </w:p>
        </w:tc>
        <w:tc>
          <w:tcPr>
            <w:tcW w:type="dxa" w:w="1568"/>
          </w:tcPr>
          <w:p>
            <w:pPr>
              <w:spacing w:line="260" w:lineRule="exact" w:after="0"/>
            </w:pPr>
            <w:r/>
            <w:r>
              <w:rPr>
                <w:rFonts w:ascii="Times New Roman" w:hAnsi="Times New Roman"/>
                <w:b w:val="0"/>
                <w:i w:val="0"/>
                <w:sz w:val="22"/>
              </w:rPr>
              <w:t>HSSIB (2025)</w:t>
            </w:r>
          </w:p>
        </w:tc>
        <w:tc>
          <w:tcPr>
            <w:tcW w:type="dxa" w:w="1568"/>
          </w:tcPr>
          <w:p>
            <w:pPr>
              <w:spacing w:line="260" w:lineRule="exact" w:after="0"/>
            </w:pPr>
            <w:r/>
            <w:r>
              <w:rPr>
                <w:rFonts w:ascii="Times New Roman" w:hAnsi="Times New Roman"/>
                <w:b w:val="0"/>
                <w:i w:val="0"/>
                <w:sz w:val="22"/>
              </w:rPr>
              <w:t>National investigation report</w:t>
            </w:r>
          </w:p>
        </w:tc>
        <w:tc>
          <w:tcPr>
            <w:tcW w:type="dxa" w:w="1568"/>
          </w:tcPr>
          <w:p>
            <w:pPr>
              <w:spacing w:line="260" w:lineRule="exact" w:after="0"/>
            </w:pPr>
            <w:r/>
            <w:r>
              <w:rPr>
                <w:rFonts w:ascii="Times New Roman" w:hAnsi="Times New Roman"/>
                <w:b w:val="0"/>
                <w:i w:val="0"/>
                <w:sz w:val="22"/>
              </w:rPr>
              <w:t>UK healthcare staff survey</w:t>
            </w:r>
          </w:p>
        </w:tc>
        <w:tc>
          <w:tcPr>
            <w:tcW w:type="dxa" w:w="1568"/>
          </w:tcPr>
          <w:p>
            <w:pPr>
              <w:spacing w:line="260" w:lineRule="exact" w:after="0"/>
            </w:pPr>
            <w:r/>
            <w:r>
              <w:rPr>
                <w:rFonts w:ascii="Times New Roman" w:hAnsi="Times New Roman"/>
                <w:b w:val="0"/>
                <w:i w:val="0"/>
                <w:sz w:val="22"/>
              </w:rPr>
              <w:t>22% of doctors reported daily sleep deprivation; 35% said tiredness impaired their ability to treat patients</w:t>
            </w:r>
          </w:p>
        </w:tc>
        <w:tc>
          <w:tcPr>
            <w:tcW w:type="dxa" w:w="1568"/>
          </w:tcPr>
          <w:p>
            <w:pPr>
              <w:spacing w:line="260" w:lineRule="exact" w:after="0"/>
            </w:pPr>
            <w:r/>
            <w:r>
              <w:rPr>
                <w:rFonts w:ascii="Times New Roman" w:hAnsi="Times New Roman"/>
                <w:b w:val="0"/>
                <w:i w:val="0"/>
                <w:sz w:val="22"/>
              </w:rPr>
              <w:t>Fatigue-harm evidence</w:t>
            </w:r>
          </w:p>
        </w:tc>
      </w:tr>
      <w:tr>
        <w:tc>
          <w:tcPr>
            <w:tcW w:type="dxa" w:w="1568"/>
          </w:tcPr>
          <w:p>
            <w:pPr>
              <w:spacing w:line="260" w:lineRule="exact" w:after="0"/>
            </w:pPr>
            <w:r/>
            <w:r>
              <w:rPr>
                <w:rFonts w:ascii="Times New Roman" w:hAnsi="Times New Roman"/>
                <w:b w:val="0"/>
                <w:i w:val="0"/>
                <w:sz w:val="22"/>
              </w:rPr>
              <w:t>12</w:t>
            </w:r>
          </w:p>
        </w:tc>
        <w:tc>
          <w:tcPr>
            <w:tcW w:type="dxa" w:w="1568"/>
          </w:tcPr>
          <w:p>
            <w:pPr>
              <w:spacing w:line="260" w:lineRule="exact" w:after="0"/>
            </w:pPr>
            <w:r/>
            <w:r>
              <w:rPr>
                <w:rFonts w:ascii="Times New Roman" w:hAnsi="Times New Roman"/>
                <w:b w:val="0"/>
                <w:i w:val="0"/>
                <w:sz w:val="22"/>
              </w:rPr>
              <w:t>Pittman (2025)</w:t>
            </w:r>
          </w:p>
        </w:tc>
        <w:tc>
          <w:tcPr>
            <w:tcW w:type="dxa" w:w="1568"/>
          </w:tcPr>
          <w:p>
            <w:pPr>
              <w:spacing w:line="260" w:lineRule="exact" w:after="0"/>
            </w:pPr>
            <w:r/>
            <w:r>
              <w:rPr>
                <w:rFonts w:ascii="Times New Roman" w:hAnsi="Times New Roman"/>
                <w:b w:val="0"/>
                <w:i w:val="0"/>
                <w:sz w:val="22"/>
              </w:rPr>
              <w:t>Retrospective panel analysis</w:t>
            </w:r>
          </w:p>
        </w:tc>
        <w:tc>
          <w:tcPr>
            <w:tcW w:type="dxa" w:w="1568"/>
          </w:tcPr>
          <w:p>
            <w:pPr>
              <w:spacing w:line="260" w:lineRule="exact" w:after="0"/>
            </w:pPr>
            <w:r/>
            <w:r>
              <w:rPr>
                <w:rFonts w:ascii="Times New Roman" w:hAnsi="Times New Roman"/>
                <w:b w:val="0"/>
                <w:i w:val="0"/>
                <w:sz w:val="22"/>
              </w:rPr>
              <w:t>70 US hospitals</w:t>
            </w:r>
          </w:p>
        </w:tc>
        <w:tc>
          <w:tcPr>
            <w:tcW w:type="dxa" w:w="1568"/>
          </w:tcPr>
          <w:p>
            <w:pPr>
              <w:spacing w:line="260" w:lineRule="exact" w:after="0"/>
            </w:pPr>
            <w:r/>
            <w:r>
              <w:rPr>
                <w:rFonts w:ascii="Times New Roman" w:hAnsi="Times New Roman"/>
                <w:b w:val="0"/>
                <w:i w:val="0"/>
                <w:sz w:val="22"/>
              </w:rPr>
              <w:t>Overtime above a breakpoint threshold associated with 2.09% increase in pressure ulcers</w:t>
            </w:r>
          </w:p>
        </w:tc>
        <w:tc>
          <w:tcPr>
            <w:tcW w:type="dxa" w:w="1568"/>
          </w:tcPr>
          <w:p>
            <w:pPr>
              <w:spacing w:line="260" w:lineRule="exact" w:after="0"/>
            </w:pPr>
            <w:r/>
            <w:r>
              <w:rPr>
                <w:rFonts w:ascii="Times New Roman" w:hAnsi="Times New Roman"/>
                <w:b w:val="0"/>
                <w:i w:val="0"/>
                <w:sz w:val="22"/>
              </w:rPr>
              <w:t>Patient-harm evidence (nursing-specific)</w:t>
            </w:r>
          </w:p>
        </w:tc>
      </w:tr>
      <w:tr>
        <w:tc>
          <w:tcPr>
            <w:tcW w:type="dxa" w:w="1568"/>
          </w:tcPr>
          <w:p>
            <w:pPr>
              <w:spacing w:line="260" w:lineRule="exact" w:after="0"/>
            </w:pPr>
            <w:r/>
            <w:r>
              <w:rPr>
                <w:rFonts w:ascii="Times New Roman" w:hAnsi="Times New Roman"/>
                <w:b w:val="0"/>
                <w:i w:val="0"/>
                <w:sz w:val="22"/>
              </w:rPr>
              <w:t>13</w:t>
            </w:r>
          </w:p>
        </w:tc>
        <w:tc>
          <w:tcPr>
            <w:tcW w:type="dxa" w:w="1568"/>
          </w:tcPr>
          <w:p>
            <w:pPr>
              <w:spacing w:line="260" w:lineRule="exact" w:after="0"/>
            </w:pPr>
            <w:r/>
            <w:r>
              <w:rPr>
                <w:rFonts w:ascii="Times New Roman" w:hAnsi="Times New Roman"/>
                <w:b w:val="0"/>
                <w:i w:val="0"/>
                <w:sz w:val="22"/>
              </w:rPr>
              <w:t>Althoff (2021)</w:t>
            </w:r>
          </w:p>
        </w:tc>
        <w:tc>
          <w:tcPr>
            <w:tcW w:type="dxa" w:w="1568"/>
          </w:tcPr>
          <w:p>
            <w:pPr>
              <w:spacing w:line="260" w:lineRule="exact" w:after="0"/>
            </w:pPr>
            <w:r/>
            <w:r>
              <w:rPr>
                <w:rFonts w:ascii="Times New Roman" w:hAnsi="Times New Roman"/>
                <w:b w:val="0"/>
                <w:i w:val="0"/>
                <w:sz w:val="22"/>
              </w:rPr>
              <w:t>Retrospective multicenter cohort</w:t>
            </w:r>
          </w:p>
        </w:tc>
        <w:tc>
          <w:tcPr>
            <w:tcW w:type="dxa" w:w="1568"/>
          </w:tcPr>
          <w:p>
            <w:pPr>
              <w:spacing w:line="260" w:lineRule="exact" w:after="0"/>
            </w:pPr>
            <w:r/>
            <w:r>
              <w:rPr>
                <w:rFonts w:ascii="Times New Roman" w:hAnsi="Times New Roman"/>
                <w:b w:val="0"/>
                <w:i w:val="0"/>
                <w:sz w:val="22"/>
              </w:rPr>
              <w:t>350,000+ non-cardiac surgical cases</w:t>
            </w:r>
          </w:p>
        </w:tc>
        <w:tc>
          <w:tcPr>
            <w:tcW w:type="dxa" w:w="1568"/>
          </w:tcPr>
          <w:p>
            <w:pPr>
              <w:spacing w:line="260" w:lineRule="exact" w:after="0"/>
            </w:pPr>
            <w:r/>
            <w:r>
              <w:rPr>
                <w:rFonts w:ascii="Times New Roman" w:hAnsi="Times New Roman"/>
                <w:b w:val="0"/>
                <w:i w:val="0"/>
                <w:sz w:val="22"/>
              </w:rPr>
              <w:t>Night surgery associated with increased morbidity (adjusted OR 1.41), mediated by transfusion rates and handovers</w:t>
            </w:r>
          </w:p>
        </w:tc>
        <w:tc>
          <w:tcPr>
            <w:tcW w:type="dxa" w:w="1568"/>
          </w:tcPr>
          <w:p>
            <w:pPr>
              <w:spacing w:line="260" w:lineRule="exact" w:after="0"/>
            </w:pPr>
            <w:r/>
            <w:r>
              <w:rPr>
                <w:rFonts w:ascii="Times New Roman" w:hAnsi="Times New Roman"/>
                <w:b w:val="0"/>
                <w:i w:val="0"/>
                <w:sz w:val="22"/>
              </w:rPr>
              <w:t>Patient-harm evidence, morbidity</w:t>
            </w:r>
          </w:p>
        </w:tc>
      </w:tr>
      <w:tr>
        <w:tc>
          <w:tcPr>
            <w:tcW w:type="dxa" w:w="1568"/>
          </w:tcPr>
          <w:p>
            <w:pPr>
              <w:spacing w:line="260" w:lineRule="exact" w:after="0"/>
            </w:pPr>
            <w:r/>
            <w:r>
              <w:rPr>
                <w:rFonts w:ascii="Times New Roman" w:hAnsi="Times New Roman"/>
                <w:b w:val="0"/>
                <w:i w:val="0"/>
                <w:sz w:val="22"/>
              </w:rPr>
              <w:t>14</w:t>
            </w:r>
          </w:p>
        </w:tc>
        <w:tc>
          <w:tcPr>
            <w:tcW w:type="dxa" w:w="1568"/>
          </w:tcPr>
          <w:p>
            <w:pPr>
              <w:spacing w:line="260" w:lineRule="exact" w:after="0"/>
            </w:pPr>
            <w:r/>
            <w:r>
              <w:rPr>
                <w:rFonts w:ascii="Times New Roman" w:hAnsi="Times New Roman"/>
                <w:b w:val="0"/>
                <w:i w:val="0"/>
                <w:sz w:val="22"/>
              </w:rPr>
              <w:t>Joseph (2019)</w:t>
            </w:r>
          </w:p>
        </w:tc>
        <w:tc>
          <w:tcPr>
            <w:tcW w:type="dxa" w:w="1568"/>
          </w:tcPr>
          <w:p>
            <w:pPr>
              <w:spacing w:line="260" w:lineRule="exact" w:after="0"/>
            </w:pPr>
            <w:r/>
            <w:r>
              <w:rPr>
                <w:rFonts w:ascii="Times New Roman" w:hAnsi="Times New Roman"/>
                <w:b w:val="0"/>
                <w:i w:val="0"/>
                <w:sz w:val="22"/>
              </w:rPr>
              <w:t>Prospective observational</w:t>
            </w:r>
          </w:p>
        </w:tc>
        <w:tc>
          <w:tcPr>
            <w:tcW w:type="dxa" w:w="1568"/>
          </w:tcPr>
          <w:p>
            <w:pPr>
              <w:spacing w:line="260" w:lineRule="exact" w:after="0"/>
            </w:pPr>
            <w:r/>
            <w:r>
              <w:rPr>
                <w:rFonts w:ascii="Times New Roman" w:hAnsi="Times New Roman"/>
                <w:b w:val="0"/>
                <w:i w:val="0"/>
                <w:sz w:val="22"/>
              </w:rPr>
              <w:t>34 surgical cases, direct observation</w:t>
            </w:r>
          </w:p>
        </w:tc>
        <w:tc>
          <w:tcPr>
            <w:tcW w:type="dxa" w:w="1568"/>
          </w:tcPr>
          <w:p>
            <w:pPr>
              <w:spacing w:line="260" w:lineRule="exact" w:after="0"/>
            </w:pPr>
            <w:r/>
            <w:r>
              <w:rPr>
                <w:rFonts w:ascii="Times New Roman" w:hAnsi="Times New Roman"/>
                <w:b w:val="0"/>
                <w:i w:val="0"/>
                <w:sz w:val="22"/>
              </w:rPr>
              <w:t>Minor flow disruptions increase the odds of major flow disruptions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15</w:t>
            </w:r>
          </w:p>
        </w:tc>
        <w:tc>
          <w:tcPr>
            <w:tcW w:type="dxa" w:w="1568"/>
          </w:tcPr>
          <w:p>
            <w:pPr>
              <w:spacing w:line="260" w:lineRule="exact" w:after="0"/>
            </w:pPr>
            <w:r/>
            <w:r>
              <w:rPr>
                <w:rFonts w:ascii="Times New Roman" w:hAnsi="Times New Roman"/>
                <w:b w:val="0"/>
                <w:i w:val="0"/>
                <w:sz w:val="22"/>
              </w:rPr>
              <w:t>Koch (2020)</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29 studies on OR workflow disruptions</w:t>
            </w:r>
          </w:p>
        </w:tc>
        <w:tc>
          <w:tcPr>
            <w:tcW w:type="dxa" w:w="1568"/>
          </w:tcPr>
          <w:p>
            <w:pPr>
              <w:spacing w:line="260" w:lineRule="exact" w:after="0"/>
            </w:pPr>
            <w:r/>
            <w:r>
              <w:rPr>
                <w:rFonts w:ascii="Times New Roman" w:hAnsi="Times New Roman"/>
                <w:b w:val="0"/>
                <w:i w:val="0"/>
                <w:sz w:val="22"/>
              </w:rPr>
              <w:t>Workflow disruptions associated with longer operative times and poorer surgical outcomes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16</w:t>
            </w:r>
          </w:p>
        </w:tc>
        <w:tc>
          <w:tcPr>
            <w:tcW w:type="dxa" w:w="1568"/>
          </w:tcPr>
          <w:p>
            <w:pPr>
              <w:spacing w:line="260" w:lineRule="exact" w:after="0"/>
            </w:pPr>
            <w:r/>
            <w:r>
              <w:rPr>
                <w:rFonts w:ascii="Times New Roman" w:hAnsi="Times New Roman"/>
                <w:b w:val="0"/>
                <w:i w:val="0"/>
                <w:sz w:val="22"/>
              </w:rPr>
              <w:t>Zhang (2024)</w:t>
            </w:r>
          </w:p>
        </w:tc>
        <w:tc>
          <w:tcPr>
            <w:tcW w:type="dxa" w:w="1568"/>
          </w:tcPr>
          <w:p>
            <w:pPr>
              <w:spacing w:line="260" w:lineRule="exact" w:after="0"/>
            </w:pPr>
            <w:r/>
            <w:r>
              <w:rPr>
                <w:rFonts w:ascii="Times New Roman" w:hAnsi="Times New Roman"/>
                <w:b w:val="0"/>
                <w:i w:val="0"/>
                <w:sz w:val="22"/>
              </w:rPr>
              <w:t>Tutorial / methodological commentary</w:t>
            </w:r>
          </w:p>
        </w:tc>
        <w:tc>
          <w:tcPr>
            <w:tcW w:type="dxa" w:w="1568"/>
          </w:tcPr>
          <w:p>
            <w:pPr>
              <w:spacing w:line="260" w:lineRule="exact" w:after="0"/>
            </w:pPr>
            <w:r/>
            <w:r>
              <w:rPr>
                <w:rFonts w:ascii="Times New Roman" w:hAnsi="Times New Roman"/>
                <w:b w:val="0"/>
                <w:i w:val="0"/>
                <w:sz w:val="22"/>
              </w:rPr>
              <w:t>NHS Model Hospital data</w:t>
            </w:r>
          </w:p>
        </w:tc>
        <w:tc>
          <w:tcPr>
            <w:tcW w:type="dxa" w:w="1568"/>
          </w:tcPr>
          <w:p>
            <w:pPr>
              <w:spacing w:line="260" w:lineRule="exact" w:after="0"/>
            </w:pPr>
            <w:r/>
            <w:r>
              <w:rPr>
                <w:rFonts w:ascii="Times New Roman" w:hAnsi="Times New Roman"/>
                <w:b w:val="0"/>
                <w:i w:val="0"/>
                <w:sz w:val="22"/>
              </w:rPr>
              <w:t>Aggregate utilisation metrics (capped utilisation) can hide room-level operational problems</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17</w:t>
            </w:r>
          </w:p>
        </w:tc>
        <w:tc>
          <w:tcPr>
            <w:tcW w:type="dxa" w:w="1568"/>
          </w:tcPr>
          <w:p>
            <w:pPr>
              <w:spacing w:line="260" w:lineRule="exact" w:after="0"/>
            </w:pPr>
            <w:r/>
            <w:r>
              <w:rPr>
                <w:rFonts w:ascii="Times New Roman" w:hAnsi="Times New Roman"/>
                <w:b w:val="0"/>
                <w:i w:val="0"/>
                <w:sz w:val="22"/>
              </w:rPr>
              <w:t>Macario (2006)</w:t>
            </w:r>
          </w:p>
        </w:tc>
        <w:tc>
          <w:tcPr>
            <w:tcW w:type="dxa" w:w="1568"/>
          </w:tcPr>
          <w:p>
            <w:pPr>
              <w:spacing w:line="260" w:lineRule="exact" w:after="0"/>
            </w:pPr>
            <w:r/>
            <w:r>
              <w:rPr>
                <w:rFonts w:ascii="Times New Roman" w:hAnsi="Times New Roman"/>
                <w:b w:val="0"/>
                <w:i w:val="0"/>
                <w:sz w:val="22"/>
              </w:rPr>
              <w:t>Expert opinion / scoring system</w:t>
            </w:r>
          </w:p>
        </w:tc>
        <w:tc>
          <w:tcPr>
            <w:tcW w:type="dxa" w:w="1568"/>
          </w:tcPr>
          <w:p>
            <w:pPr>
              <w:spacing w:line="260" w:lineRule="exact" w:after="0"/>
            </w:pPr>
            <w:r/>
            <w:r>
              <w:rPr>
                <w:rFonts w:ascii="Times New Roman" w:hAnsi="Times New Roman"/>
                <w:b w:val="0"/>
                <w:i w:val="0"/>
                <w:sz w:val="22"/>
              </w:rPr>
              <w:t>8 OR performance indicators</w:t>
            </w:r>
          </w:p>
        </w:tc>
        <w:tc>
          <w:tcPr>
            <w:tcW w:type="dxa" w:w="1568"/>
          </w:tcPr>
          <w:p>
            <w:pPr>
              <w:spacing w:line="260" w:lineRule="exact" w:after="0"/>
            </w:pPr>
            <w:r/>
            <w:r>
              <w:rPr>
                <w:rFonts w:ascii="Times New Roman" w:hAnsi="Times New Roman"/>
                <w:b w:val="0"/>
                <w:i w:val="0"/>
                <w:sz w:val="22"/>
              </w:rPr>
              <w:t>Proposes hospital-level efficiency indicators; does not address room-level variation</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18</w:t>
            </w:r>
          </w:p>
        </w:tc>
        <w:tc>
          <w:tcPr>
            <w:tcW w:type="dxa" w:w="1568"/>
          </w:tcPr>
          <w:p>
            <w:pPr>
              <w:spacing w:line="260" w:lineRule="exact" w:after="0"/>
            </w:pPr>
            <w:r/>
            <w:r>
              <w:rPr>
                <w:rFonts w:ascii="Times New Roman" w:hAnsi="Times New Roman"/>
                <w:b w:val="0"/>
                <w:i w:val="0"/>
                <w:sz w:val="22"/>
              </w:rPr>
              <w:t>Bauer (2020)</w:t>
            </w:r>
          </w:p>
        </w:tc>
        <w:tc>
          <w:tcPr>
            <w:tcW w:type="dxa" w:w="1568"/>
          </w:tcPr>
          <w:p>
            <w:pPr>
              <w:spacing w:line="260" w:lineRule="exact" w:after="0"/>
            </w:pPr>
            <w:r/>
            <w:r>
              <w:rPr>
                <w:rFonts w:ascii="Times New Roman" w:hAnsi="Times New Roman"/>
                <w:b w:val="0"/>
                <w:i w:val="0"/>
                <w:sz w:val="22"/>
              </w:rPr>
              <w:t>Glossary / consensus definitions</w:t>
            </w:r>
          </w:p>
        </w:tc>
        <w:tc>
          <w:tcPr>
            <w:tcW w:type="dxa" w:w="1568"/>
          </w:tcPr>
          <w:p>
            <w:pPr>
              <w:spacing w:line="260" w:lineRule="exact" w:after="0"/>
            </w:pPr>
            <w:r/>
            <w:r>
              <w:rPr>
                <w:rFonts w:ascii="Times New Roman" w:hAnsi="Times New Roman"/>
                <w:b w:val="0"/>
                <w:i w:val="0"/>
                <w:sz w:val="22"/>
              </w:rPr>
              <w:t>Perioperative process times</w:t>
            </w:r>
          </w:p>
        </w:tc>
        <w:tc>
          <w:tcPr>
            <w:tcW w:type="dxa" w:w="1568"/>
          </w:tcPr>
          <w:p>
            <w:pPr>
              <w:spacing w:line="260" w:lineRule="exact" w:after="0"/>
            </w:pPr>
            <w:r/>
            <w:r>
              <w:rPr>
                <w:rFonts w:ascii="Times New Roman" w:hAnsi="Times New Roman"/>
                <w:b w:val="0"/>
                <w:i w:val="0"/>
                <w:sz w:val="22"/>
              </w:rPr>
              <w:t>Standardised definitions of overtime, utilisation, and related perioperative time intervals</w:t>
            </w:r>
          </w:p>
        </w:tc>
        <w:tc>
          <w:tcPr>
            <w:tcW w:type="dxa" w:w="1568"/>
          </w:tcPr>
          <w:p>
            <w:pPr>
              <w:spacing w:line="260" w:lineRule="exact" w:after="0"/>
            </w:pPr>
            <w:r/>
            <w:r>
              <w:rPr>
                <w:rFonts w:ascii="Times New Roman" w:hAnsi="Times New Roman"/>
                <w:b w:val="0"/>
                <w:i w:val="0"/>
                <w:sz w:val="22"/>
              </w:rPr>
              <w:t>Provides the overtime definition used in this study</w:t>
            </w:r>
          </w:p>
        </w:tc>
      </w:tr>
      <w:tr>
        <w:tc>
          <w:tcPr>
            <w:tcW w:type="dxa" w:w="1568"/>
          </w:tcPr>
          <w:p>
            <w:pPr>
              <w:spacing w:line="260" w:lineRule="exact" w:after="0"/>
            </w:pPr>
            <w:r/>
            <w:r>
              <w:rPr>
                <w:rFonts w:ascii="Times New Roman" w:hAnsi="Times New Roman"/>
                <w:b w:val="0"/>
                <w:i w:val="0"/>
                <w:sz w:val="22"/>
              </w:rPr>
              <w:t>19</w:t>
            </w:r>
          </w:p>
        </w:tc>
        <w:tc>
          <w:tcPr>
            <w:tcW w:type="dxa" w:w="1568"/>
          </w:tcPr>
          <w:p>
            <w:pPr>
              <w:spacing w:line="260" w:lineRule="exact" w:after="0"/>
            </w:pPr>
            <w:r/>
            <w:r>
              <w:rPr>
                <w:rFonts w:ascii="Times New Roman" w:hAnsi="Times New Roman"/>
                <w:b w:val="0"/>
                <w:i w:val="0"/>
                <w:sz w:val="22"/>
              </w:rPr>
              <w:t>Schouten (2023)</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52 studies on OR performance metrics</w:t>
            </w:r>
          </w:p>
        </w:tc>
        <w:tc>
          <w:tcPr>
            <w:tcW w:type="dxa" w:w="1568"/>
          </w:tcPr>
          <w:p>
            <w:pPr>
              <w:spacing w:line="260" w:lineRule="exact" w:after="0"/>
            </w:pPr>
            <w:r/>
            <w:r>
              <w:rPr>
                <w:rFonts w:ascii="Times New Roman" w:hAnsi="Times New Roman"/>
                <w:b w:val="0"/>
                <w:i w:val="0"/>
                <w:sz w:val="22"/>
              </w:rPr>
              <w:t>Catalogues OR performance metrics; notes lack of standardisation across studies</w:t>
            </w:r>
          </w:p>
        </w:tc>
        <w:tc>
          <w:tcPr>
            <w:tcW w:type="dxa" w:w="1568"/>
          </w:tcPr>
          <w:p>
            <w:pPr>
              <w:spacing w:line="260" w:lineRule="exact" w:after="0"/>
            </w:pPr>
            <w:r/>
            <w:r>
              <w:rPr>
                <w:rFonts w:ascii="Times New Roman" w:hAnsi="Times New Roman"/>
                <w:b w:val="0"/>
                <w:i w:val="0"/>
                <w:sz w:val="22"/>
              </w:rPr>
              <w:t>Supports the need for valid room-level metrics</w:t>
            </w:r>
          </w:p>
        </w:tc>
      </w:tr>
      <w:tr>
        <w:tc>
          <w:tcPr>
            <w:tcW w:type="dxa" w:w="1568"/>
          </w:tcPr>
          <w:p>
            <w:pPr>
              <w:spacing w:line="260" w:lineRule="exact" w:after="0"/>
            </w:pPr>
            <w:r/>
            <w:r>
              <w:rPr>
                <w:rFonts w:ascii="Times New Roman" w:hAnsi="Times New Roman"/>
                <w:b w:val="0"/>
                <w:i w:val="0"/>
                <w:sz w:val="22"/>
              </w:rPr>
              <w:t>20</w:t>
            </w:r>
          </w:p>
        </w:tc>
        <w:tc>
          <w:tcPr>
            <w:tcW w:type="dxa" w:w="1568"/>
          </w:tcPr>
          <w:p>
            <w:pPr>
              <w:spacing w:line="260" w:lineRule="exact" w:after="0"/>
            </w:pPr>
            <w:r/>
            <w:r>
              <w:rPr>
                <w:rFonts w:ascii="Times New Roman" w:hAnsi="Times New Roman"/>
                <w:b w:val="0"/>
                <w:i w:val="0"/>
                <w:sz w:val="22"/>
              </w:rPr>
              <w:t>Strum (2000)</w:t>
            </w:r>
          </w:p>
        </w:tc>
        <w:tc>
          <w:tcPr>
            <w:tcW w:type="dxa" w:w="1568"/>
          </w:tcPr>
          <w:p>
            <w:pPr>
              <w:spacing w:line="260" w:lineRule="exact" w:after="0"/>
            </w:pPr>
            <w:r/>
            <w:r>
              <w:rPr>
                <w:rFonts w:ascii="Times New Roman" w:hAnsi="Times New Roman"/>
                <w:b w:val="0"/>
                <w:i w:val="0"/>
                <w:sz w:val="22"/>
              </w:rPr>
              <w:t>Methodological study</w:t>
            </w:r>
          </w:p>
        </w:tc>
        <w:tc>
          <w:tcPr>
            <w:tcW w:type="dxa" w:w="1568"/>
          </w:tcPr>
          <w:p>
            <w:pPr>
              <w:spacing w:line="260" w:lineRule="exact" w:after="0"/>
            </w:pPr>
            <w:r/>
            <w:r>
              <w:rPr>
                <w:rFonts w:ascii="Times New Roman" w:hAnsi="Times New Roman"/>
                <w:b w:val="0"/>
                <w:i w:val="0"/>
                <w:sz w:val="22"/>
              </w:rPr>
              <w:t>7,846 cases, surgical duration distributions</w:t>
            </w:r>
          </w:p>
        </w:tc>
        <w:tc>
          <w:tcPr>
            <w:tcW w:type="dxa" w:w="1568"/>
          </w:tcPr>
          <w:p>
            <w:pPr>
              <w:spacing w:line="260" w:lineRule="exact" w:after="0"/>
            </w:pPr>
            <w:r/>
            <w:r>
              <w:rPr>
                <w:rFonts w:ascii="Times New Roman" w:hAnsi="Times New Roman"/>
                <w:b w:val="0"/>
                <w:i w:val="0"/>
                <w:sz w:val="22"/>
              </w:rPr>
              <w:t>Surgical duration follows a log-normal distribution; CV varies by procedure type</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21</w:t>
            </w:r>
          </w:p>
        </w:tc>
        <w:tc>
          <w:tcPr>
            <w:tcW w:type="dxa" w:w="1568"/>
          </w:tcPr>
          <w:p>
            <w:pPr>
              <w:spacing w:line="260" w:lineRule="exact" w:after="0"/>
            </w:pPr>
            <w:r/>
            <w:r>
              <w:rPr>
                <w:rFonts w:ascii="Times New Roman" w:hAnsi="Times New Roman"/>
                <w:b w:val="0"/>
                <w:i w:val="0"/>
                <w:sz w:val="22"/>
              </w:rPr>
              <w:t>Eijkemans (2010)</w:t>
            </w:r>
          </w:p>
        </w:tc>
        <w:tc>
          <w:tcPr>
            <w:tcW w:type="dxa" w:w="1568"/>
          </w:tcPr>
          <w:p>
            <w:pPr>
              <w:spacing w:line="260" w:lineRule="exact" w:after="0"/>
            </w:pPr>
            <w:r/>
            <w:r>
              <w:rPr>
                <w:rFonts w:ascii="Times New Roman" w:hAnsi="Times New Roman"/>
                <w:b w:val="0"/>
                <w:i w:val="0"/>
                <w:sz w:val="22"/>
              </w:rPr>
              <w:t>Prediction model development</w:t>
            </w:r>
          </w:p>
        </w:tc>
        <w:tc>
          <w:tcPr>
            <w:tcW w:type="dxa" w:w="1568"/>
          </w:tcPr>
          <w:p>
            <w:pPr>
              <w:spacing w:line="260" w:lineRule="exact" w:after="0"/>
            </w:pPr>
            <w:r/>
            <w:r>
              <w:rPr>
                <w:rFonts w:ascii="Times New Roman" w:hAnsi="Times New Roman"/>
                <w:b w:val="0"/>
                <w:i w:val="0"/>
                <w:sz w:val="22"/>
              </w:rPr>
              <w:t>2,709 cases, Erasmus MC</w:t>
            </w:r>
          </w:p>
        </w:tc>
        <w:tc>
          <w:tcPr>
            <w:tcW w:type="dxa" w:w="1568"/>
          </w:tcPr>
          <w:p>
            <w:pPr>
              <w:spacing w:line="260" w:lineRule="exact" w:after="0"/>
            </w:pPr>
            <w:r/>
            <w:r>
              <w:rPr>
                <w:rFonts w:ascii="Times New Roman" w:hAnsi="Times New Roman"/>
                <w:b w:val="0"/>
                <w:i w:val="0"/>
                <w:sz w:val="22"/>
              </w:rPr>
              <w:t>Surgeon-specific historical data improve duration prediction; residual variability remains substantial</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22</w:t>
            </w:r>
          </w:p>
        </w:tc>
        <w:tc>
          <w:tcPr>
            <w:tcW w:type="dxa" w:w="1568"/>
          </w:tcPr>
          <w:p>
            <w:pPr>
              <w:spacing w:line="260" w:lineRule="exact" w:after="0"/>
            </w:pPr>
            <w:r/>
            <w:r>
              <w:rPr>
                <w:rFonts w:ascii="Times New Roman" w:hAnsi="Times New Roman"/>
                <w:b w:val="0"/>
                <w:i w:val="0"/>
                <w:sz w:val="22"/>
              </w:rPr>
              <w:t>MacMillan (2025)</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37 studies on OR turnover time</w:t>
            </w:r>
          </w:p>
        </w:tc>
        <w:tc>
          <w:tcPr>
            <w:tcW w:type="dxa" w:w="1568"/>
          </w:tcPr>
          <w:p>
            <w:pPr>
              <w:spacing w:line="260" w:lineRule="exact" w:after="0"/>
            </w:pPr>
            <w:r/>
            <w:r>
              <w:rPr>
                <w:rFonts w:ascii="Times New Roman" w:hAnsi="Times New Roman"/>
                <w:b w:val="0"/>
                <w:i w:val="0"/>
                <w:sz w:val="22"/>
              </w:rPr>
              <w:t>Maps factors affecting turnover time; median turnover across studies was 25–45 minutes</w:t>
            </w:r>
          </w:p>
        </w:tc>
        <w:tc>
          <w:tcPr>
            <w:tcW w:type="dxa" w:w="1568"/>
          </w:tcPr>
          <w:p>
            <w:pPr>
              <w:spacing w:line="260" w:lineRule="exact" w:after="0"/>
            </w:pPr>
            <w:r/>
            <w:r>
              <w:rPr>
                <w:rFonts w:ascii="Times New Roman" w:hAnsi="Times New Roman"/>
                <w:b w:val="0"/>
                <w:i w:val="0"/>
                <w:sz w:val="22"/>
              </w:rPr>
              <w:t>Contextualises our inter-case idle time findings</w:t>
            </w:r>
          </w:p>
        </w:tc>
      </w:tr>
      <w:tr>
        <w:tc>
          <w:tcPr>
            <w:tcW w:type="dxa" w:w="1568"/>
          </w:tcPr>
          <w:p>
            <w:pPr>
              <w:spacing w:line="260" w:lineRule="exact" w:after="0"/>
            </w:pPr>
            <w:r/>
            <w:r>
              <w:rPr>
                <w:rFonts w:ascii="Times New Roman" w:hAnsi="Times New Roman"/>
                <w:b w:val="0"/>
                <w:i w:val="0"/>
                <w:sz w:val="22"/>
              </w:rPr>
              <w:t>23</w:t>
            </w:r>
          </w:p>
        </w:tc>
        <w:tc>
          <w:tcPr>
            <w:tcW w:type="dxa" w:w="1568"/>
          </w:tcPr>
          <w:p>
            <w:pPr>
              <w:spacing w:line="260" w:lineRule="exact" w:after="0"/>
            </w:pPr>
            <w:r/>
            <w:r>
              <w:rPr>
                <w:rFonts w:ascii="Times New Roman" w:hAnsi="Times New Roman"/>
                <w:b w:val="0"/>
                <w:i w:val="0"/>
                <w:sz w:val="22"/>
              </w:rPr>
              <w:t>Pandit (2012)</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7,096 operating lists, UK</w:t>
            </w:r>
          </w:p>
        </w:tc>
        <w:tc>
          <w:tcPr>
            <w:tcW w:type="dxa" w:w="1568"/>
          </w:tcPr>
          <w:p>
            <w:pPr>
              <w:spacing w:line="260" w:lineRule="exact" w:after="0"/>
            </w:pPr>
            <w:r/>
            <w:r>
              <w:rPr>
                <w:rFonts w:ascii="Times New Roman" w:hAnsi="Times New Roman"/>
                <w:b w:val="0"/>
                <w:i w:val="0"/>
                <w:sz w:val="22"/>
              </w:rPr>
              <w:t>First-case start time explains only 4–8% of variance in list finish time (R-squared 0.04–0.08)</w:t>
            </w:r>
          </w:p>
        </w:tc>
        <w:tc>
          <w:tcPr>
            <w:tcW w:type="dxa" w:w="1568"/>
          </w:tcPr>
          <w:p>
            <w:pPr>
              <w:spacing w:line="260" w:lineRule="exact" w:after="0"/>
            </w:pPr>
            <w:r/>
            <w:r>
              <w:rPr>
                <w:rFonts w:ascii="Times New Roman" w:hAnsi="Times New Roman"/>
                <w:b w:val="0"/>
                <w:i w:val="0"/>
                <w:sz w:val="22"/>
              </w:rPr>
              <w:t>Supports the FCOTS finding</w:t>
            </w:r>
          </w:p>
        </w:tc>
      </w:tr>
      <w:tr>
        <w:tc>
          <w:tcPr>
            <w:tcW w:type="dxa" w:w="1568"/>
          </w:tcPr>
          <w:p>
            <w:pPr>
              <w:spacing w:line="260" w:lineRule="exact" w:after="0"/>
            </w:pPr>
            <w:r/>
            <w:r>
              <w:rPr>
                <w:rFonts w:ascii="Times New Roman" w:hAnsi="Times New Roman"/>
                <w:b w:val="0"/>
                <w:i w:val="0"/>
                <w:sz w:val="22"/>
              </w:rPr>
              <w:t>24</w:t>
            </w:r>
          </w:p>
        </w:tc>
        <w:tc>
          <w:tcPr>
            <w:tcW w:type="dxa" w:w="1568"/>
          </w:tcPr>
          <w:p>
            <w:pPr>
              <w:spacing w:line="260" w:lineRule="exact" w:after="0"/>
            </w:pPr>
            <w:r/>
            <w:r>
              <w:rPr>
                <w:rFonts w:ascii="Times New Roman" w:hAnsi="Times New Roman"/>
                <w:b w:val="0"/>
                <w:i w:val="0"/>
                <w:sz w:val="22"/>
              </w:rPr>
              <w:t>Zhang (2023)</w:t>
            </w:r>
          </w:p>
        </w:tc>
        <w:tc>
          <w:tcPr>
            <w:tcW w:type="dxa" w:w="1568"/>
          </w:tcPr>
          <w:p>
            <w:pPr>
              <w:spacing w:line="260" w:lineRule="exact" w:after="0"/>
            </w:pPr>
            <w:r/>
            <w:r>
              <w:rPr>
                <w:rFonts w:ascii="Times New Roman" w:hAnsi="Times New Roman"/>
                <w:b w:val="0"/>
                <w:i w:val="0"/>
                <w:sz w:val="22"/>
              </w:rPr>
              <w:t>Editorial / methodological commentary</w:t>
            </w:r>
          </w:p>
        </w:tc>
        <w:tc>
          <w:tcPr>
            <w:tcW w:type="dxa" w:w="1568"/>
          </w:tcPr>
          <w:p>
            <w:pPr>
              <w:spacing w:line="260" w:lineRule="exact" w:after="0"/>
            </w:pPr>
            <w:r/>
            <w:r>
              <w:rPr>
                <w:rFonts w:ascii="Times New Roman" w:hAnsi="Times New Roman"/>
                <w:b w:val="0"/>
                <w:i w:val="0"/>
                <w:sz w:val="22"/>
              </w:rPr>
              <w:t>OR metrics in the UK</w:t>
            </w:r>
          </w:p>
        </w:tc>
        <w:tc>
          <w:tcPr>
            <w:tcW w:type="dxa" w:w="1568"/>
          </w:tcPr>
          <w:p>
            <w:pPr>
              <w:spacing w:line="260" w:lineRule="exact" w:after="0"/>
            </w:pPr>
            <w:r/>
            <w:r>
              <w:rPr>
                <w:rFonts w:ascii="Times New Roman" w:hAnsi="Times New Roman"/>
                <w:b w:val="0"/>
                <w:i w:val="0"/>
                <w:sz w:val="22"/>
              </w:rPr>
              <w:t>Valid room-level metrics are a prerequisite for quality improvement</w:t>
            </w:r>
          </w:p>
        </w:tc>
        <w:tc>
          <w:tcPr>
            <w:tcW w:type="dxa" w:w="1568"/>
          </w:tcPr>
          <w:p>
            <w:pPr>
              <w:spacing w:line="260" w:lineRule="exact" w:after="0"/>
            </w:pPr>
            <w:r/>
            <w:r>
              <w:rPr>
                <w:rFonts w:ascii="Times New Roman" w:hAnsi="Times New Roman"/>
                <w:b w:val="0"/>
                <w:i w:val="0"/>
                <w:sz w:val="22"/>
              </w:rPr>
              <w:t>Supports room-level monitoring recommendation</w:t>
            </w:r>
          </w:p>
        </w:tc>
      </w:tr>
      <w:tr>
        <w:tc>
          <w:tcPr>
            <w:tcW w:type="dxa" w:w="1568"/>
          </w:tcPr>
          <w:p>
            <w:pPr>
              <w:spacing w:line="260" w:lineRule="exact" w:after="0"/>
            </w:pPr>
            <w:r/>
            <w:r>
              <w:rPr>
                <w:rFonts w:ascii="Times New Roman" w:hAnsi="Times New Roman"/>
                <w:b w:val="0"/>
                <w:i w:val="0"/>
                <w:sz w:val="22"/>
              </w:rPr>
              <w:t>25</w:t>
            </w:r>
          </w:p>
        </w:tc>
        <w:tc>
          <w:tcPr>
            <w:tcW w:type="dxa" w:w="1568"/>
          </w:tcPr>
          <w:p>
            <w:pPr>
              <w:spacing w:line="260" w:lineRule="exact" w:after="0"/>
            </w:pPr>
            <w:r/>
            <w:r>
              <w:rPr>
                <w:rFonts w:ascii="Times New Roman" w:hAnsi="Times New Roman"/>
                <w:b w:val="0"/>
                <w:i w:val="0"/>
                <w:sz w:val="22"/>
              </w:rPr>
              <w:t>Dexter (2009)</w:t>
            </w:r>
          </w:p>
        </w:tc>
        <w:tc>
          <w:tcPr>
            <w:tcW w:type="dxa" w:w="1568"/>
          </w:tcPr>
          <w:p>
            <w:pPr>
              <w:spacing w:line="260" w:lineRule="exact" w:after="0"/>
            </w:pPr>
            <w:r/>
            <w:r>
              <w:rPr>
                <w:rFonts w:ascii="Times New Roman" w:hAnsi="Times New Roman"/>
                <w:b w:val="0"/>
                <w:i w:val="0"/>
                <w:sz w:val="22"/>
              </w:rPr>
              <w:t>Decision-analytic model</w:t>
            </w:r>
          </w:p>
        </w:tc>
        <w:tc>
          <w:tcPr>
            <w:tcW w:type="dxa" w:w="1568"/>
          </w:tcPr>
          <w:p>
            <w:pPr>
              <w:spacing w:line="260" w:lineRule="exact" w:after="0"/>
            </w:pPr>
            <w:r/>
            <w:r>
              <w:rPr>
                <w:rFonts w:ascii="Times New Roman" w:hAnsi="Times New Roman"/>
                <w:b w:val="0"/>
                <w:i w:val="0"/>
                <w:sz w:val="22"/>
              </w:rPr>
              <w:t>Marginal cost of tardiness</w:t>
            </w:r>
          </w:p>
        </w:tc>
        <w:tc>
          <w:tcPr>
            <w:tcW w:type="dxa" w:w="1568"/>
          </w:tcPr>
          <w:p>
            <w:pPr>
              <w:spacing w:line="260" w:lineRule="exact" w:after="0"/>
            </w:pPr>
            <w:r/>
            <w:r>
              <w:rPr>
                <w:rFonts w:ascii="Times New Roman" w:hAnsi="Times New Roman"/>
                <w:b w:val="0"/>
                <w:i w:val="0"/>
                <w:sz w:val="22"/>
              </w:rPr>
              <w:t>Each minute of first-case tardiness carries a marginal cost, but the effect is small relative to case-mix variation</w:t>
            </w:r>
          </w:p>
        </w:tc>
        <w:tc>
          <w:tcPr>
            <w:tcW w:type="dxa" w:w="1568"/>
          </w:tcPr>
          <w:p>
            <w:pPr>
              <w:spacing w:line="260" w:lineRule="exact" w:after="0"/>
            </w:pPr>
            <w:r/>
            <w:r>
              <w:rPr>
                <w:rFonts w:ascii="Times New Roman" w:hAnsi="Times New Roman"/>
                <w:b w:val="0"/>
                <w:i w:val="0"/>
                <w:sz w:val="22"/>
              </w:rPr>
              <w:t>Contextualises FCOTS discussion</w:t>
            </w:r>
          </w:p>
        </w:tc>
      </w:tr>
      <w:tr>
        <w:tc>
          <w:tcPr>
            <w:tcW w:type="dxa" w:w="1568"/>
          </w:tcPr>
          <w:p>
            <w:pPr>
              <w:spacing w:line="260" w:lineRule="exact" w:after="0"/>
            </w:pPr>
            <w:r/>
            <w:r>
              <w:rPr>
                <w:rFonts w:ascii="Times New Roman" w:hAnsi="Times New Roman"/>
                <w:b w:val="0"/>
                <w:i w:val="0"/>
                <w:sz w:val="22"/>
              </w:rPr>
              <w:t>26</w:t>
            </w:r>
          </w:p>
        </w:tc>
        <w:tc>
          <w:tcPr>
            <w:tcW w:type="dxa" w:w="1568"/>
          </w:tcPr>
          <w:p>
            <w:pPr>
              <w:spacing w:line="260" w:lineRule="exact" w:after="0"/>
            </w:pPr>
            <w:r/>
            <w:r>
              <w:rPr>
                <w:rFonts w:ascii="Times New Roman" w:hAnsi="Times New Roman"/>
                <w:b w:val="0"/>
                <w:i w:val="0"/>
                <w:sz w:val="22"/>
              </w:rPr>
              <w:t>Wachtel (2009)</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Large US OR dataset</w:t>
            </w:r>
          </w:p>
        </w:tc>
        <w:tc>
          <w:tcPr>
            <w:tcW w:type="dxa" w:w="1568"/>
          </w:tcPr>
          <w:p>
            <w:pPr>
              <w:spacing w:line="260" w:lineRule="exact" w:after="0"/>
            </w:pPr>
            <w:r/>
            <w:r>
              <w:rPr>
                <w:rFonts w:ascii="Times New Roman" w:hAnsi="Times New Roman"/>
                <w:b w:val="0"/>
                <w:i w:val="0"/>
                <w:sz w:val="22"/>
              </w:rPr>
              <w:t>Tardiness accumulates through the day as duration uncertainty compounds across sequential cases</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27</w:t>
            </w:r>
          </w:p>
        </w:tc>
        <w:tc>
          <w:tcPr>
            <w:tcW w:type="dxa" w:w="1568"/>
          </w:tcPr>
          <w:p>
            <w:pPr>
              <w:spacing w:line="260" w:lineRule="exact" w:after="0"/>
            </w:pPr>
            <w:r/>
            <w:r>
              <w:rPr>
                <w:rFonts w:ascii="Times New Roman" w:hAnsi="Times New Roman"/>
                <w:b w:val="0"/>
                <w:i w:val="0"/>
                <w:sz w:val="22"/>
              </w:rPr>
              <w:t>Fugener (2017)</w:t>
            </w:r>
          </w:p>
        </w:tc>
        <w:tc>
          <w:tcPr>
            <w:tcW w:type="dxa" w:w="1568"/>
          </w:tcPr>
          <w:p>
            <w:pPr>
              <w:spacing w:line="260" w:lineRule="exact" w:after="0"/>
            </w:pPr>
            <w:r/>
            <w:r>
              <w:rPr>
                <w:rFonts w:ascii="Times New Roman" w:hAnsi="Times New Roman"/>
                <w:b w:val="0"/>
                <w:i w:val="0"/>
                <w:sz w:val="22"/>
              </w:rPr>
              <w:t>Behavioural experiment and retrospective analysis</w:t>
            </w:r>
          </w:p>
        </w:tc>
        <w:tc>
          <w:tcPr>
            <w:tcW w:type="dxa" w:w="1568"/>
          </w:tcPr>
          <w:p>
            <w:pPr>
              <w:spacing w:line="260" w:lineRule="exact" w:after="0"/>
            </w:pPr>
            <w:r/>
            <w:r>
              <w:rPr>
                <w:rFonts w:ascii="Times New Roman" w:hAnsi="Times New Roman"/>
                <w:b w:val="0"/>
                <w:i w:val="0"/>
                <w:sz w:val="22"/>
              </w:rPr>
              <w:t>German hospital OR data</w:t>
            </w:r>
          </w:p>
        </w:tc>
        <w:tc>
          <w:tcPr>
            <w:tcW w:type="dxa" w:w="1568"/>
          </w:tcPr>
          <w:p>
            <w:pPr>
              <w:spacing w:line="260" w:lineRule="exact" w:after="0"/>
            </w:pPr>
            <w:r/>
            <w:r>
              <w:rPr>
                <w:rFonts w:ascii="Times New Roman" w:hAnsi="Times New Roman"/>
                <w:b w:val="0"/>
                <w:i w:val="0"/>
                <w:sz w:val="22"/>
              </w:rPr>
              <w:t>Surgeons systematically underestimate durations for complex cases; bias compounds across a list</w:t>
            </w:r>
          </w:p>
        </w:tc>
        <w:tc>
          <w:tcPr>
            <w:tcW w:type="dxa" w:w="1568"/>
          </w:tcPr>
          <w:p>
            <w:pPr>
              <w:spacing w:line="260" w:lineRule="exact" w:after="0"/>
            </w:pPr>
            <w:r/>
            <w:r>
              <w:rPr>
                <w:rFonts w:ascii="Times New Roman" w:hAnsi="Times New Roman"/>
                <w:b w:val="0"/>
                <w:i w:val="0"/>
                <w:sz w:val="22"/>
              </w:rPr>
              <w:t>Supports planning-accuracy discussion</w:t>
            </w:r>
          </w:p>
        </w:tc>
      </w:tr>
    </w:tbl>
    <w:p>
      <w:pPr>
        <w:spacing w:line="120" w:lineRule="exact"/>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