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operating-room overtime concentrates and why: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3,094 (body text, excluding abstract, tables, and references)</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and staff burnout, and it costs roughly twice as much per minute as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Belgium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Of 79,352 cases, 7,729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showed no association with room-level overtime, whereas rooms with longer gaps between cases also had higher overtime rates.</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was concentrated in a small number of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and rooms with longer gaps between cases also ran more overtime; start-time punctuality was not associated with room-level overtime.</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Standardised glossaries of perioperative process times define overrun and utilisation relative to allocated operating-room capacity.</w:t>
      </w:r>
      <w:r>
        <w:rPr>
          <w:rFonts w:ascii="Times New Roman" w:hAnsi="Times New Roman"/>
          <w:sz w:val="24"/>
          <w:vertAlign w:val="superscript"/>
        </w:rPr>
        <w:t>1</w:t>
      </w:r>
      <w:r>
        <w:rPr>
          <w:rFonts w:ascii="Times New Roman" w:hAnsi="Times New Roman"/>
          <w:b w:val="0"/>
          <w:i w:val="0"/>
          <w:sz w:val="24"/>
        </w:rPr>
        <w:t xml:space="preserve"> We instead define overtime against the staffing boundary, in line with the staff-overtime literature, where overtime is work beyond contracted hours;</w:t>
      </w:r>
      <w:r>
        <w:rPr>
          <w:rFonts w:ascii="Times New Roman" w:hAnsi="Times New Roman"/>
          <w:sz w:val="24"/>
          <w:vertAlign w:val="superscript"/>
        </w:rPr>
        <w:t>2</w:t>
      </w:r>
      <w:r>
        <w:rPr>
          <w:rFonts w:ascii="Times New Roman" w:hAnsi="Times New Roman"/>
          <w:b w:val="0"/>
          <w:i w:val="0"/>
          <w:sz w:val="24"/>
        </w:rPr>
        <w:t xml:space="preserve"> the change of nursing staff at each shift end is the operational event that gives overtime its meaning at this site. Overutilised time costs roughly double what underutilised time does,</w:t>
      </w:r>
      <w:r>
        <w:rPr>
          <w:rFonts w:ascii="Times New Roman" w:hAnsi="Times New Roman"/>
          <w:sz w:val="24"/>
          <w:vertAlign w:val="superscript"/>
        </w:rPr>
        <w:t>3</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pooling 18 studies found an adjusted odds ratio of 1.16 (95% CI 1.06 to 1.28), graded as low-certainty evidence.</w:t>
      </w:r>
      <w:r>
        <w:rPr>
          <w:rFonts w:ascii="Times New Roman" w:hAnsi="Times New Roman"/>
          <w:sz w:val="24"/>
          <w:vertAlign w:val="superscript"/>
        </w:rPr>
        <w:t>4</w:t>
      </w:r>
      <w:r>
        <w:rPr>
          <w:rFonts w:ascii="Times New Roman" w:hAnsi="Times New Roman"/>
          <w:b w:val="0"/>
          <w:i w:val="0"/>
          <w:sz w:val="24"/>
        </w:rPr>
        <w:t xml:space="preserve"> A propensity-matched cohort study of 281,717 South Korean patients found a larger effect for 90-day mortality (odds ratio 3.58), although that estimate has been challenged on residual-confounding grounds.</w:t>
      </w:r>
      <w:r>
        <w:rPr>
          <w:rFonts w:ascii="Times New Roman" w:hAnsi="Times New Roman"/>
          <w:sz w:val="24"/>
          <w:vertAlign w:val="superscript"/>
        </w:rPr>
        <w:t>5,6</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7</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9</w:t>
      </w:r>
      <w:r>
        <w:rPr>
          <w:rFonts w:ascii="Times New Roman" w:hAnsi="Times New Roman"/>
          <w:b w:val="0"/>
          <w:i w:val="0"/>
          <w:sz w:val="24"/>
        </w:rPr>
        <w:t xml:space="preserve"> A 2025 UK national patient-safety investigation into staff fatigue cited a Medical Defence Union survey of 481 doctors in which 22% reported daily sleep deprivation and 35% said tiredness had impaired their ability to treat patients, with long shifts and overtime among the contributing factors.</w:t>
      </w:r>
      <w:r>
        <w:rPr>
          <w:rFonts w:ascii="Times New Roman" w:hAnsi="Times New Roman"/>
          <w:sz w:val="24"/>
          <w:vertAlign w:val="superscript"/>
        </w:rPr>
        <w:t>10</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11</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12</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13</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14</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15</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operating-room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Workflow disruptions consume a substantial share of operating time,</w:t>
      </w:r>
      <w:r>
        <w:rPr>
          <w:rFonts w:ascii="Times New Roman" w:hAnsi="Times New Roman"/>
          <w:sz w:val="24"/>
          <w:vertAlign w:val="superscript"/>
        </w:rPr>
        <w:t>18</w:t>
      </w:r>
      <w:r>
        <w:rPr>
          <w:rFonts w:ascii="Times New Roman" w:hAnsi="Times New Roman"/>
          <w:b w:val="0"/>
          <w:i w:val="0"/>
          <w:sz w:val="24"/>
        </w:rPr>
        <w:t xml:space="preserve"> and minor disruptions can escalate into major ones.</w:t>
      </w:r>
      <w:r>
        <w:rPr>
          <w:rFonts w:ascii="Times New Roman" w:hAnsi="Times New Roman"/>
          <w:sz w:val="24"/>
          <w:vertAlign w:val="superscript"/>
        </w:rPr>
        <w:t>19</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programme at the study hospital to improve OR performance. Using administrative data, we address two research questions:</w:t>
      </w:r>
    </w:p>
    <w:p>
      <w:pPr>
        <w:spacing w:after="60" w:before="0" w:line="480" w:lineRule="exact"/>
        <w:jc w:val="left"/>
      </w:pPr>
      <w:r>
        <w:rPr>
          <w:rFonts w:ascii="Times New Roman" w:hAnsi="Times New Roman"/>
          <w:b w:val="0"/>
          <w:i w:val="0"/>
          <w:sz w:val="24"/>
        </w:rPr>
        <w:t>1. How is overtime distributed across rooms and time within one tertiary hospital (RQ1)?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(RQ2)?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we derived observed duration, planning deviation, and start-time deviation following standard perioperative process-time definitions,</w:t>
      </w:r>
      <w:r>
        <w:rPr>
          <w:rFonts w:ascii="Times New Roman" w:hAnsi="Times New Roman"/>
          <w:sz w:val="24"/>
          <w:vertAlign w:val="superscript"/>
        </w:rPr>
        <w:t>1</w:t>
      </w:r>
      <w:r>
        <w:rPr>
          <w:rFonts w:ascii="Times New Roman" w:hAnsi="Times New Roman"/>
          <w:b w:val="0"/>
          <w:i w:val="0"/>
          <w:sz w:val="24"/>
        </w:rPr>
        <w:t xml:space="preserve"> and additionally defined an overtime flag and overtime minutes, a room-swap flag, and a shift label (defined below).</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following the hospital's shift boundaries: day (08:00 to 16:30), evening (16:30 to 22:00), and night (22:00 to 08:00). One reclassification was applied: cases entering the room between 07:30 and 08:00 and remaining in the room past 08:00 (n = 6,153) were treated as day-shift cases, since these represent early starts of the day programme rather than night activity. The same rules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Room-level overtime was the primary metric because aggregate utilisation measures can misrepresent the performance of individual rooms</w:t>
      </w:r>
      <w:r>
        <w:rPr>
          <w:rFonts w:ascii="Times New Roman" w:hAnsi="Times New Roman"/>
          <w:sz w:val="24"/>
          <w:vertAlign w:val="superscript"/>
        </w:rPr>
        <w:t>16</w:t>
      </w:r>
      <w:r>
        <w:rPr>
          <w:rFonts w:ascii="Times New Roman" w:hAnsi="Times New Roman"/>
          <w:b w:val="0"/>
          <w:i w:val="0"/>
          <w:sz w:val="24"/>
        </w:rPr>
        <w:t xml:space="preserve"> and published OR performance metrics lack standardised definitions.</w:t>
      </w:r>
      <w:r>
        <w:rPr>
          <w:rFonts w:ascii="Times New Roman" w:hAnsi="Times New Roman"/>
          <w:sz w:val="24"/>
          <w:vertAlign w:val="superscript"/>
        </w:rPr>
        <w:t>20</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21,22</w:t>
      </w:r>
      <w:r>
        <w:rPr>
          <w:rFonts w:ascii="Times New Roman" w:hAnsi="Times New Roman"/>
          <w:b w:val="0"/>
          <w:i w:val="0"/>
          <w:sz w:val="24"/>
        </w:rPr>
        <w:t xml:space="preserve"> urgency mix and timing, urgent-elective interaction (defined and reported in Results), start-time deviation per room, inter-case idle time, and room swaps. Inter-case idle time was measured as the gap between consecutive cases in the same room within the same shift window; the first case in a window has no defined gap, overlapping room times count as zero, and gaps longer than 60 minutes were excluded as planned downtime. An urgent-elective overlap was flagged when an urgent case occupied a room during a window in which an elective case had been planned in that room; start-delay comparisons are made at case level between overlapped and non-overlapped elective cases.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(P95)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r>
        <w:rPr>
          <w:rFonts w:ascii="Times New Roman" w:hAnsi="Times New Roman"/>
          <w:b w:val="0"/>
          <w:i w:val="0"/>
          <w:sz w:val="24"/>
        </w:rPr>
        <w:t xml:space="preserve"> (OT, overtime; rates and means among overtime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(OT, overtime;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(coronary artery bypass grafting,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flagged elective cases whose planned room and time window were occupied by an urgent case. Such overlap occurred on 858 of 1,247 observation days (68.8%, Table 3B). Elective cases affected by an overlap started later than unaffected elective cases: at OR11, the emergency-designated room that absorbed the highest overlap burden (475 events, 15.2% of its elective cases), the median start delay was 60 minutes with overlap versus 28 minutes without. In monthly terms, mean start delays for overlapped elective cases exceeded 70 minutes in early 2022, against roughly 30 minutes for unaffected cases, and the gap narrowed over the study period.</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Overtime n</w:t>
            </w:r>
          </w:p>
        </w:tc>
        <w:tc>
          <w:tcPr>
            <w:tcW w:type="dxa" w:w="1344"/>
          </w:tcPr>
          <w:p>
            <w:pPr>
              <w:spacing w:line="260" w:lineRule="exact" w:after="0"/>
            </w:pPr>
            <w:r/>
            <w:r>
              <w:rPr>
                <w:rFonts w:ascii="Times New Roman" w:hAnsi="Times New Roman"/>
                <w:b/>
                <w:i w:val="0"/>
                <w:sz w:val="22"/>
              </w:rPr>
              <w:t>Overtime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5.0</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i/>
          <w:sz w:val="24"/>
        </w:rPr>
        <w:t>OT, overtime. Mean and P95 overtime in this table are computed across all cases in each row, including cases without overtime; Table 2 reports means among overtime cases only.</w:t>
      </w: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 common assumption is that punctual starts, and the first case of the day in particular (first-case-on-time-start, FCOTS), protect the end of the list. Across all cases and rooms, 67.4% started later than planned, with a mean delay of 74.6 minutes and a median of 28 minutes among late cases. We tested a broad version of this hypothesis by correlating each room's late-start rate, computed across all scheduled cases rather than first cases alone, with its overtime rate. The two were not associated (Spearman rho = −0.29, p = 0.24), and the direction was, if anything, negative. OR10 had the lowest late-start rate of all 18 rooms (46.1%) but the highest overtime rate (32.9%), while OR14 started late more often (78.7%) yet ran the least overtime (3.5%). Start-time punctuality therefore did not track where overtime accumulated.</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(the gap between one case's room-out and the next case's room-in, akin to turnover time</w:t>
      </w:r>
      <w:r>
        <w:rPr>
          <w:rFonts w:ascii="Times New Roman" w:hAnsi="Times New Roman"/>
          <w:sz w:val="24"/>
          <w:vertAlign w:val="superscript"/>
        </w:rPr>
        <w:t>23</w:t>
      </w:r>
      <w:r>
        <w:rPr>
          <w:rFonts w:ascii="Times New Roman" w:hAnsi="Times New Roman"/>
          <w:b w:val="0"/>
          <w:i w:val="0"/>
          <w:sz w:val="24"/>
        </w:rPr>
        <w:t>) had a median of 8 minutes and a mean of 9.9 minutes. At the room level, mean idle time was positively correlated with overtime rate (Spearman rho = 0.91, p &lt; 0.001), and the association was not an artefact of the extreme room: it persisted when OR10, which had both the highest mean idle time (22.6 minutes) and the highest overtime rate (32.9%), was excluded (rho = 0.90, p &lt; 0.001). Rooms with longer gaps between cases therefore also ran more overtime. Both are plausibly markers of case-mix complexity, since complex procedures require longer preparation between cases as well as longer operating times; these cross-sectional correlations cannot separate that account from a turnover effect.</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routine urgent-elective overlap, and longer inter-case gaps; start-time punctuality was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it is decomposed by room. Zhang, Dunstan and Pandit reached a similar conclusion about NHS England's capped-utilisation target, which discards operating time that runs past the scheduled finish and so misrepresents what individual theatres actually deliver.</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24</w:t>
      </w:r>
      <w:r>
        <w:rPr>
          <w:rFonts w:ascii="Times New Roman" w:hAnsi="Times New Roman"/>
          <w:b w:val="0"/>
          <w:i w:val="0"/>
          <w:sz w:val="24"/>
        </w:rPr>
        <w:t xml:space="preserve"> Quality improvement work needs metrics that are valid at the level where decisions are made.</w:t>
      </w:r>
      <w:r>
        <w:rPr>
          <w:rFonts w:ascii="Times New Roman" w:hAnsi="Times New Roman"/>
          <w:sz w:val="24"/>
          <w:vertAlign w:val="superscript"/>
        </w:rPr>
        <w:t>25</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Because the procedures with the largest planning deviations and longest planned durations were concentrated in the highest-overtime rooms, case-mix complexity rather than scheduling inefficiency alone most likely accounts for much of the room-level variation. Using a large operational dataset, Wachtel and Dexter showed that tardiness per case grows through the day as the scheduled time preceding each case accumulates,</w:t>
      </w:r>
      <w:r>
        <w:rPr>
          <w:rFonts w:ascii="Times New Roman" w:hAnsi="Times New Roman"/>
          <w:sz w:val="24"/>
          <w:vertAlign w:val="superscript"/>
        </w:rPr>
        <w:t>26</w:t>
      </w:r>
      <w:r>
        <w:rPr>
          <w:rFonts w:ascii="Times New Roman" w:hAnsi="Times New Roman"/>
          <w:b w:val="0"/>
          <w:i w:val="0"/>
          <w:sz w:val="24"/>
        </w:rPr>
        <w:t xml:space="preserve"> and Fügener et al. documented systematic biases in surgeons' duration estimates under uncertainty.</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later elective starts (at the emergency-designated room OR11, a median of 60 versus 28 minutes),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28</w:t>
      </w:r>
    </w:p>
    <w:p>
      <w:pPr>
        <w:spacing w:after="120" w:before="0" w:line="480" w:lineRule="exact"/>
        <w:jc w:val="left"/>
      </w:pPr>
      <w:r>
        <w:rPr>
          <w:rFonts w:ascii="Times New Roman" w:hAnsi="Times New Roman"/>
          <w:b w:val="0"/>
          <w:i w:val="0"/>
          <w:sz w:val="24"/>
        </w:rPr>
        <w:t>The absence of a link between per-room punctuality and overtime runs against the assumption that first-case-on-time-start (FCOTS) drives end-of-day performance, with each minute of tardiness carrying a marginal cost.</w:t>
      </w:r>
      <w:r>
        <w:rPr>
          <w:rFonts w:ascii="Times New Roman" w:hAnsi="Times New Roman"/>
          <w:sz w:val="24"/>
          <w:vertAlign w:val="superscript"/>
        </w:rPr>
        <w:t>29</w:t>
      </w:r>
      <w:r>
        <w:rPr>
          <w:rFonts w:ascii="Times New Roman" w:hAnsi="Times New Roman"/>
          <w:b w:val="0"/>
          <w:i w:val="0"/>
          <w:sz w:val="24"/>
        </w:rPr>
        <w:t xml:space="preserve"> Pandit et al. found the same disconnect across more than 7,000 operating lists, where start time explained only 4 to 8% of the variance in finish time.</w:t>
      </w:r>
      <w:r>
        <w:rPr>
          <w:rFonts w:ascii="Times New Roman" w:hAnsi="Times New Roman"/>
          <w:sz w:val="24"/>
          <w:vertAlign w:val="superscript"/>
        </w:rPr>
        <w:t>30</w:t>
      </w:r>
      <w:r>
        <w:rPr>
          <w:rFonts w:ascii="Times New Roman" w:hAnsi="Times New Roman"/>
          <w:b w:val="0"/>
          <w:i w:val="0"/>
          <w:sz w:val="24"/>
        </w:rPr>
        <w:t xml:space="preserve"> We do not conclude that FCOTS is unimportant; it remains a reasonable marker of scheduling discipline. In this hospital,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because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belongs in the schedule itself: given how often urgent and elective work collide, dedicating additional capacity or buffering the elective programme against predictable disruption is more realistic than reactive rescheduling. Start-time compliance, while reasonable to pursue on other grounds, should not be expected to reduce overtime.</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2,4–7,9–15</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4</w:t>
      </w:r>
      <w:r>
        <w:rPr>
          <w:rFonts w:ascii="Times New Roman" w:hAnsi="Times New Roman"/>
          <w:b w:val="0"/>
          <w:i w:val="0"/>
          <w:sz w:val="24"/>
        </w:rPr>
        <w:t xml:space="preserve"> to 3.58</w:t>
      </w:r>
      <w:r>
        <w:rPr>
          <w:rFonts w:ascii="Times New Roman" w:hAnsi="Times New Roman"/>
          <w:sz w:val="24"/>
          <w:vertAlign w:val="superscript"/>
        </w:rPr>
        <w:t>5</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6</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was concentrated in a small number of rooms. Case-mix complexity, unplanned urgent-case disruption of the elective programme, and longer inter-case gaps were the most visibly associated factors; start-time punctuality was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Bauer M, Auhuber TC, Kraus R, et al. The German perioperative procedural time glossary: a joint recommendation by the BDA, BDC, VOPM, VOPMÖ, ÖGARI and SFOPM (2020 edition). </w:t>
      </w:r>
      <w:r>
        <w:rPr>
          <w:rFonts w:ascii="Times New Roman" w:hAnsi="Times New Roman"/>
          <w:i/>
          <w:sz w:val="24"/>
        </w:rPr>
        <w:t>Anästh Intensivmed</w:t>
      </w:r>
      <w:r>
        <w:rPr>
          <w:rFonts w:ascii="Times New Roman" w:hAnsi="Times New Roman"/>
          <w:b w:val="0"/>
          <w:i w:val="0"/>
          <w:sz w:val="24"/>
        </w:rPr>
        <w:t xml:space="preserve"> 2020;61:516-31. DOI: 10.19224/ai2020.516.</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2010;110(6):1698-710.</w:t>
      </w:r>
    </w:p>
    <w:p>
      <w:pPr>
        <w:spacing w:after="60" w:before="0" w:line="480" w:lineRule="exact"/>
        <w:jc w:val="left"/>
      </w:pPr>
      <w:r>
        <w:rPr>
          <w:rFonts w:ascii="Times New Roman" w:hAnsi="Times New Roman"/>
          <w:b w:val="0"/>
          <w:i w:val="0"/>
          <w:sz w:val="24"/>
        </w:rPr>
        <w:t xml:space="preserve">4.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5.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2025;80(6):645-51. DOI: 10.1111/anae.16559.</w:t>
      </w:r>
    </w:p>
    <w:p>
      <w:pPr>
        <w:spacing w:after="60" w:before="0" w:line="480" w:lineRule="exact"/>
        <w:jc w:val="left"/>
      </w:pPr>
      <w:r>
        <w:rPr>
          <w:rFonts w:ascii="Times New Roman" w:hAnsi="Times New Roman"/>
          <w:b w:val="0"/>
          <w:i w:val="0"/>
          <w:sz w:val="24"/>
        </w:rPr>
        <w:t xml:space="preserve">6. Sakurai K, Takeda C.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2025;80(5):596-7. DOI: 10.1111/anae.16591.</w:t>
      </w:r>
    </w:p>
    <w:p>
      <w:pPr>
        <w:spacing w:after="60" w:before="0" w:line="480" w:lineRule="exact"/>
        <w:jc w:val="left"/>
      </w:pPr>
      <w:r>
        <w:rPr>
          <w:rFonts w:ascii="Times New Roman" w:hAnsi="Times New Roman"/>
          <w:b w:val="0"/>
          <w:i w:val="0"/>
          <w:sz w:val="24"/>
        </w:rPr>
        <w:t xml:space="preserve">7.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2021;30(8):678-88.</w:t>
      </w:r>
    </w:p>
    <w:p>
      <w:pPr>
        <w:spacing w:after="60" w:before="0" w:line="480" w:lineRule="exact"/>
        <w:jc w:val="left"/>
      </w:pPr>
      <w:r>
        <w:rPr>
          <w:rFonts w:ascii="Times New Roman" w:hAnsi="Times New Roman"/>
          <w:b w:val="0"/>
          <w:i w:val="0"/>
          <w:sz w:val="24"/>
        </w:rPr>
        <w:t xml:space="preserve">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9.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10.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11. Pittman P, Tiunn HL, Luo Q,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2025;8(4):e252875. PMID: 40172888.</w:t>
      </w:r>
    </w:p>
    <w:p>
      <w:pPr>
        <w:spacing w:after="60" w:before="0" w:line="480" w:lineRule="exact"/>
        <w:jc w:val="left"/>
      </w:pPr>
      <w:r>
        <w:rPr>
          <w:rFonts w:ascii="Times New Roman" w:hAnsi="Times New Roman"/>
          <w:b w:val="0"/>
          <w:i w:val="0"/>
          <w:sz w:val="24"/>
        </w:rPr>
        <w:t xml:space="preserve">12.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13.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14.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15.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2020;29(12):1033-45.</w:t>
      </w:r>
    </w:p>
    <w:p>
      <w:pPr>
        <w:spacing w:after="60" w:before="0" w:line="480" w:lineRule="exact"/>
        <w:jc w:val="left"/>
      </w:pPr>
      <w:r>
        <w:rPr>
          <w:rFonts w:ascii="Times New Roman" w:hAnsi="Times New Roman"/>
          <w:b w:val="0"/>
          <w:i w:val="0"/>
          <w:sz w:val="24"/>
        </w:rPr>
        <w:t xml:space="preserve">19.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20. Schouten AM,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21.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22. Eijkemans MJ, van Houdenhoven M, Nguyen T, et al. Predicting the unpredictable: a new prediction model for operating room times using individual characteristics and the surgeon's estimate.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23. MacMillan L, Madura GM, Elliot M,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2025;181:109263. PMID: 40054053.</w:t>
      </w:r>
    </w:p>
    <w:p>
      <w:pPr>
        <w:spacing w:after="60" w:before="0" w:line="480" w:lineRule="exact"/>
        <w:jc w:val="left"/>
      </w:pPr>
      <w:r>
        <w:rPr>
          <w:rFonts w:ascii="Times New Roman" w:hAnsi="Times New Roman"/>
          <w:b w:val="0"/>
          <w:i w:val="0"/>
          <w:sz w:val="24"/>
        </w:rPr>
        <w:t xml:space="preserve">24.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25.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2009;108(6):1889-901.</w:t>
      </w:r>
    </w:p>
    <w:p>
      <w:pPr>
        <w:spacing w:after="60" w:before="0" w:line="480" w:lineRule="exact"/>
        <w:jc w:val="left"/>
      </w:pPr>
      <w:r>
        <w:rPr>
          <w:rFonts w:ascii="Times New Roman" w:hAnsi="Times New Roman"/>
          <w:b w:val="0"/>
          <w:i w:val="0"/>
          <w:sz w:val="24"/>
        </w:rPr>
        <w:t xml:space="preserve">27. Fügener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after="60" w:before="0" w:line="480" w:lineRule="exact"/>
        <w:jc w:val="left"/>
      </w:pPr>
      <w:r>
        <w:rPr>
          <w:rFonts w:ascii="Times New Roman" w:hAnsi="Times New Roman"/>
          <w:b w:val="0"/>
          <w:i w:val="0"/>
          <w:sz w:val="24"/>
        </w:rPr>
        <w:t xml:space="preserve">29.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30.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