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operating-room overtime concentrates and why: a retrospective single-centre study</w:t>
      </w:r>
    </w:p>
    <w:p>
      <w:pPr>
        <w:spacing w:after="120" w:before="120" w:line="480" w:lineRule="exact"/>
        <w:jc w:val="left"/>
      </w:pPr>
      <w:r>
        <w:rPr>
          <w:rFonts w:ascii="Times New Roman" w:hAnsi="Times New Roman"/>
          <w:b w:val="0"/>
          <w:i/>
          <w:sz w:val="24"/>
        </w:rPr>
        <w:t>[Authors and affiliations removed for blinded review]</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[removed for blinded review]</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3,033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higher patient mortality, staff burnout, and costs per minute roughly twice those of underutilised time. Most studies report overtime as a hospital-wide aggregate, which can obscure where the problem concentrates and misdirect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characterise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using administrative operating-room data from a 24/7 tertiary hospital in Belgium with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few rooms: OR10 ran overtime on 32.9% of its cases (mean 154 minutes), while OR14 ran 3.5%. Urgent cases ran after-hours at more than twice the elective rate (18.2% versus 8.3%). Unplanned urgent cases disrupted the elective programme on 68.8% of observation days, with a median difference of approximately 30 minutes in elective start times. Start-time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Overtime concentrated in a few rooms, driven by case-mix complexity and routine urgent-case disruption of the elective programme. Room-level monitoring and scheduling that accounts for urgent-case flow are more actionable targets than start-time punctuality.</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higher patient mortality and staff burnout, and overutilised time costs roughly twice as much per minute as underutilised time.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single-centre retrospective analysis of 79,352 surgical cases, overtime concentrated in a few rooms, with a nearly ten-fold spread within one hospital (3.5% to 32.9%). Case-mix complexity and unplanned urgent cases disrupting the elective programme were the factors most visibly associated with room-level overtime; start-time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actual schedules routinely diverge from planned ones. Overtime in this setting can refer to several distinct phenomena: an individual case running longer than its booked duration, an operating list ending after its scheduled close, or surgery continuing into a period when different staff are rostered. These are different operational events with different consequences. The glossary of Bauer et al. defines overtime as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change of nursing staff at each boundary is the operational event that gives overtime its meaning. Overutilised time costs approximately twice as much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next shift, when a different team is on duty. Most overtime at this site crosses the day-to-evening boundary, so the after-hours surgery literature is directly relevant. That literature defines the exposure by clock time rather than by a staffing boundary. Overtime and after-hours surgery are not identical, but overtime is one of the routes by which scheduled daytime work ends up being performed after hours, so the harms reported for after-hours surgery are relevant. After-hours surgery has been linked to higher patient mortality. A meta-analysis of 13 studies found an adjusted odds ratio of 1.16 (95% CI 1.06 to 1.28), graded as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study of 281,717 South Korean patients found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A systematic review of elective non-cardiac surgery confirmed the direction: evening and night procedures carried higher mortality and morbidity than daytime procedures, although the quality of evidence was low.</w:t>
      </w:r>
      <w:r>
        <w:rPr>
          <w:rFonts w:ascii="Times New Roman" w:hAnsi="Times New Roman"/>
          <w:sz w:val="24"/>
          <w:vertAlign w:val="superscript"/>
        </w:rPr>
        <w:t>28</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into staff fatigue reported that 22% of surveyed doctors experienced daily sleep deprivation and 35% said tiredness had impaired their clinical judgement, with long shifts and overtime among the contributing factors.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consequences for staff are also well documented.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continues with fewer rooms open and with nursing staff who were not present at the start of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concentrates in specific rooms within a single hospital, and which operational factors are associated with it, remain open questions.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effort at a tertiary hospital to improve OR performance. Using administrative data, we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start-time punctuality) are associated with overtime?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centre in Belgium performing more than 22,000 surgical procedures per year. It operates 18 surgical operating rooms and 7 interventional operating rooms. The surgical staff includes 195 surgeons and 207 anaesthesiologists (including trainees and fellows), covering all surgical specialities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from the 18 surgical operating rooms. Endoscopy suites and catheterisation laboratory cases without an anaesthesiologist present were excluded. Cases with implausible timestamps (zero observed duration, planned duration exceeding 24 hours, or extreme deviations from the planned schedule) were also removed. The final cohort comprised 79,352 cases involving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(cases scheduled or performed within 24 hours of booking were classified as non-elective, hereafter referred to as urgent; all others were classified as elective), and room assignment. From these inputs, and following the glossary of Bauer et al.,</w:t>
      </w:r>
      <w:r>
        <w:rPr>
          <w:rFonts w:ascii="Times New Roman" w:hAnsi="Times New Roman"/>
          <w:sz w:val="24"/>
          <w:vertAlign w:val="superscript"/>
        </w:rPr>
        <w:t>18</w:t>
      </w:r>
      <w:r>
        <w:rPr>
          <w:rFonts w:ascii="Times New Roman" w:hAnsi="Times New Roman"/>
          <w:b w:val="0"/>
          <w:i w:val="0"/>
          <w:sz w:val="24"/>
        </w:rPr>
        <w:t xml:space="preserve"> we derived observed duration, planning deviation, start-time deviation, overtime flag and overtime minutes, room-swap flag,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The same boundaries were applied on weekends.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was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start-time deviation per room, inter-case idle time, and room swaps. Spearman rank correlations across the 18 rooms were computed between room-level overtime rate and two candidate factors: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anonymised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anonymised administrative data, no patient or public involvement was sought.</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surgical cases performed on 60,895 unique patients across 18 operating rooms between January 2022 and May 2025 (Table 1). Cases covered 1,276 distinct procedure types performed by 195 surgeons and 207 anaesthesiologists. The urgency mix was 85.4% elective and 14.6% urgent (non-elective), 42.3% of cases were ambulatory, and almost all activity (96.1%) fell on weekdays. Annual volume grew from 22,133 in 2022 to 23,738 in 2024, with 9,906 cases recorded through May 2025.</w:t>
      </w:r>
    </w:p>
    <w:p>
      <w:pPr>
        <w:spacing w:after="120" w:before="0" w:line="480" w:lineRule="exact"/>
        <w:jc w:val="left"/>
      </w:pPr>
      <w:r>
        <w:rPr>
          <w:rFonts w:ascii="Times New Roman" w:hAnsi="Times New Roman"/>
          <w:b/>
          <w:sz w:val="24"/>
        </w:rPr>
        <w:t>Table 1. Study cohort characteristics.</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Characteristic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Surgical cases</w:t>
            </w:r>
          </w:p>
        </w:tc>
        <w:tc>
          <w:tcPr>
            <w:tcW w:type="dxa" w:w="4703"/>
          </w:tcPr>
          <w:p>
            <w:pPr>
              <w:spacing w:line="260" w:lineRule="exact" w:after="0"/>
            </w:pPr>
            <w:r/>
            <w:r>
              <w:rPr>
                <w:rFonts w:ascii="Times New Roman" w:hAnsi="Times New Roman"/>
                <w:b w:val="0"/>
                <w:i w:val="0"/>
                <w:sz w:val="22"/>
              </w:rPr>
              <w:t>79,352</w:t>
            </w:r>
          </w:p>
        </w:tc>
      </w:tr>
      <w:tr>
        <w:tc>
          <w:tcPr>
            <w:tcW w:type="dxa" w:w="4703"/>
          </w:tcPr>
          <w:p>
            <w:pPr>
              <w:spacing w:line="260" w:lineRule="exact" w:after="0"/>
            </w:pPr>
            <w:r/>
            <w:r>
              <w:rPr>
                <w:rFonts w:ascii="Times New Roman" w:hAnsi="Times New Roman"/>
                <w:b w:val="0"/>
                <w:i w:val="0"/>
                <w:sz w:val="22"/>
              </w:rPr>
              <w:t>Unique patients</w:t>
            </w:r>
          </w:p>
        </w:tc>
        <w:tc>
          <w:tcPr>
            <w:tcW w:type="dxa" w:w="4703"/>
          </w:tcPr>
          <w:p>
            <w:pPr>
              <w:spacing w:line="260" w:lineRule="exact" w:after="0"/>
            </w:pPr>
            <w:r/>
            <w:r>
              <w:rPr>
                <w:rFonts w:ascii="Times New Roman" w:hAnsi="Times New Roman"/>
                <w:b w:val="0"/>
                <w:i w:val="0"/>
                <w:sz w:val="22"/>
              </w:rPr>
              <w:t>60,895</w:t>
            </w:r>
          </w:p>
        </w:tc>
      </w:tr>
      <w:tr>
        <w:tc>
          <w:tcPr>
            <w:tcW w:type="dxa" w:w="4703"/>
          </w:tcPr>
          <w:p>
            <w:pPr>
              <w:spacing w:line="260" w:lineRule="exact" w:after="0"/>
            </w:pPr>
            <w:r/>
            <w:r>
              <w:rPr>
                <w:rFonts w:ascii="Times New Roman" w:hAnsi="Times New Roman"/>
                <w:b w:val="0"/>
                <w:i w:val="0"/>
                <w:sz w:val="22"/>
              </w:rPr>
              <w:t>Surgical operating rooms</w:t>
            </w:r>
          </w:p>
        </w:tc>
        <w:tc>
          <w:tcPr>
            <w:tcW w:type="dxa" w:w="4703"/>
          </w:tcPr>
          <w:p>
            <w:pPr>
              <w:spacing w:line="260" w:lineRule="exact" w:after="0"/>
            </w:pPr>
            <w:r/>
            <w:r>
              <w:rPr>
                <w:rFonts w:ascii="Times New Roman" w:hAnsi="Times New Roman"/>
                <w:b w:val="0"/>
                <w:i w:val="0"/>
                <w:sz w:val="22"/>
              </w:rPr>
              <w:t>18</w:t>
            </w:r>
          </w:p>
        </w:tc>
      </w:tr>
      <w:tr>
        <w:tc>
          <w:tcPr>
            <w:tcW w:type="dxa" w:w="4703"/>
          </w:tcPr>
          <w:p>
            <w:pPr>
              <w:spacing w:line="260" w:lineRule="exact" w:after="0"/>
            </w:pPr>
            <w:r/>
            <w:r>
              <w:rPr>
                <w:rFonts w:ascii="Times New Roman" w:hAnsi="Times New Roman"/>
                <w:b w:val="0"/>
                <w:i w:val="0"/>
                <w:sz w:val="22"/>
              </w:rPr>
              <w:t>Distinct procedure types</w:t>
            </w:r>
          </w:p>
        </w:tc>
        <w:tc>
          <w:tcPr>
            <w:tcW w:type="dxa" w:w="4703"/>
          </w:tcPr>
          <w:p>
            <w:pPr>
              <w:spacing w:line="260" w:lineRule="exact" w:after="0"/>
            </w:pPr>
            <w:r/>
            <w:r>
              <w:rPr>
                <w:rFonts w:ascii="Times New Roman" w:hAnsi="Times New Roman"/>
                <w:b w:val="0"/>
                <w:i w:val="0"/>
                <w:sz w:val="22"/>
              </w:rPr>
              <w:t>1,276</w:t>
            </w:r>
          </w:p>
        </w:tc>
      </w:tr>
      <w:tr>
        <w:tc>
          <w:tcPr>
            <w:tcW w:type="dxa" w:w="4703"/>
          </w:tcPr>
          <w:p>
            <w:pPr>
              <w:spacing w:line="260" w:lineRule="exact" w:after="0"/>
            </w:pPr>
            <w:r/>
            <w:r>
              <w:rPr>
                <w:rFonts w:ascii="Times New Roman" w:hAnsi="Times New Roman"/>
                <w:b w:val="0"/>
                <w:i w:val="0"/>
                <w:sz w:val="22"/>
              </w:rPr>
              <w:t>Surgeons</w:t>
            </w:r>
          </w:p>
        </w:tc>
        <w:tc>
          <w:tcPr>
            <w:tcW w:type="dxa" w:w="4703"/>
          </w:tcPr>
          <w:p>
            <w:pPr>
              <w:spacing w:line="260" w:lineRule="exact" w:after="0"/>
            </w:pPr>
            <w:r/>
            <w:r>
              <w:rPr>
                <w:rFonts w:ascii="Times New Roman" w:hAnsi="Times New Roman"/>
                <w:b w:val="0"/>
                <w:i w:val="0"/>
                <w:sz w:val="22"/>
              </w:rPr>
              <w:t>195</w:t>
            </w:r>
          </w:p>
        </w:tc>
      </w:tr>
      <w:tr>
        <w:tc>
          <w:tcPr>
            <w:tcW w:type="dxa" w:w="4703"/>
          </w:tcPr>
          <w:p>
            <w:pPr>
              <w:spacing w:line="260" w:lineRule="exact" w:after="0"/>
            </w:pPr>
            <w:r/>
            <w:r>
              <w:rPr>
                <w:rFonts w:ascii="Times New Roman" w:hAnsi="Times New Roman"/>
                <w:b w:val="0"/>
                <w:i w:val="0"/>
                <w:sz w:val="22"/>
              </w:rPr>
              <w:t>Anaesthesiologists</w:t>
            </w:r>
          </w:p>
        </w:tc>
        <w:tc>
          <w:tcPr>
            <w:tcW w:type="dxa" w:w="4703"/>
          </w:tcPr>
          <w:p>
            <w:pPr>
              <w:spacing w:line="260" w:lineRule="exact" w:after="0"/>
            </w:pPr>
            <w:r/>
            <w:r>
              <w:rPr>
                <w:rFonts w:ascii="Times New Roman" w:hAnsi="Times New Roman"/>
                <w:b w:val="0"/>
                <w:i w:val="0"/>
                <w:sz w:val="22"/>
              </w:rPr>
              <w:t>207</w:t>
            </w:r>
          </w:p>
        </w:tc>
      </w:tr>
      <w:tr>
        <w:tc>
          <w:tcPr>
            <w:tcW w:type="dxa" w:w="4703"/>
          </w:tcPr>
          <w:p>
            <w:pPr>
              <w:spacing w:line="260" w:lineRule="exact" w:after="0"/>
            </w:pPr>
            <w:r/>
            <w:r>
              <w:rPr>
                <w:rFonts w:ascii="Times New Roman" w:hAnsi="Times New Roman"/>
                <w:b w:val="0"/>
                <w:i w:val="0"/>
                <w:sz w:val="22"/>
              </w:rPr>
              <w:t>Study period</w:t>
            </w:r>
          </w:p>
        </w:tc>
        <w:tc>
          <w:tcPr>
            <w:tcW w:type="dxa" w:w="4703"/>
          </w:tcPr>
          <w:p>
            <w:pPr>
              <w:spacing w:line="260" w:lineRule="exact" w:after="0"/>
            </w:pPr>
            <w:r/>
            <w:r>
              <w:rPr>
                <w:rFonts w:ascii="Times New Roman" w:hAnsi="Times New Roman"/>
                <w:b w:val="0"/>
                <w:i w:val="0"/>
                <w:sz w:val="22"/>
              </w:rPr>
              <w:t>January 2022 – May 2025</w:t>
            </w:r>
          </w:p>
        </w:tc>
      </w:tr>
      <w:tr>
        <w:tc>
          <w:tcPr>
            <w:tcW w:type="dxa" w:w="4703"/>
          </w:tcPr>
          <w:p>
            <w:pPr>
              <w:spacing w:line="260" w:lineRule="exact" w:after="0"/>
            </w:pPr>
            <w:r/>
            <w:r>
              <w:rPr>
                <w:rFonts w:ascii="Times New Roman" w:hAnsi="Times New Roman"/>
                <w:b/>
                <w:sz w:val="22"/>
              </w:rPr>
              <w:t>Admission type</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Ambulatory (day surgery)</w:t>
            </w:r>
          </w:p>
        </w:tc>
        <w:tc>
          <w:tcPr>
            <w:tcW w:type="dxa" w:w="4703"/>
          </w:tcPr>
          <w:p>
            <w:pPr>
              <w:spacing w:line="260" w:lineRule="exact" w:after="0"/>
            </w:pPr>
            <w:r/>
            <w:r>
              <w:rPr>
                <w:rFonts w:ascii="Times New Roman" w:hAnsi="Times New Roman"/>
                <w:b w:val="0"/>
                <w:i w:val="0"/>
                <w:sz w:val="22"/>
              </w:rPr>
              <w:t>33,566 (42.3)</w:t>
            </w:r>
          </w:p>
        </w:tc>
      </w:tr>
      <w:tr>
        <w:tc>
          <w:tcPr>
            <w:tcW w:type="dxa" w:w="4703"/>
          </w:tcPr>
          <w:p>
            <w:pPr>
              <w:spacing w:line="260" w:lineRule="exact" w:after="0"/>
            </w:pPr>
            <w:r/>
            <w:r>
              <w:rPr>
                <w:rFonts w:ascii="Times New Roman" w:hAnsi="Times New Roman"/>
                <w:b w:val="0"/>
                <w:i w:val="0"/>
                <w:sz w:val="22"/>
              </w:rPr>
              <w:t>Inpatient</w:t>
            </w:r>
          </w:p>
        </w:tc>
        <w:tc>
          <w:tcPr>
            <w:tcW w:type="dxa" w:w="4703"/>
          </w:tcPr>
          <w:p>
            <w:pPr>
              <w:spacing w:line="260" w:lineRule="exact" w:after="0"/>
            </w:pPr>
            <w:r/>
            <w:r>
              <w:rPr>
                <w:rFonts w:ascii="Times New Roman" w:hAnsi="Times New Roman"/>
                <w:b w:val="0"/>
                <w:i w:val="0"/>
                <w:sz w:val="22"/>
              </w:rPr>
              <w:t>45,786 (57.7)</w:t>
            </w:r>
          </w:p>
        </w:tc>
      </w:tr>
      <w:tr>
        <w:tc>
          <w:tcPr>
            <w:tcW w:type="dxa" w:w="4703"/>
          </w:tcPr>
          <w:p>
            <w:pPr>
              <w:spacing w:line="260" w:lineRule="exact" w:after="0"/>
            </w:pPr>
            <w:r/>
            <w:r>
              <w:rPr>
                <w:rFonts w:ascii="Times New Roman" w:hAnsi="Times New Roman"/>
                <w:b/>
                <w:sz w:val="22"/>
              </w:rPr>
              <w:t>Urgency</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Elective</w:t>
            </w:r>
          </w:p>
        </w:tc>
        <w:tc>
          <w:tcPr>
            <w:tcW w:type="dxa" w:w="4703"/>
          </w:tcPr>
          <w:p>
            <w:pPr>
              <w:spacing w:line="260" w:lineRule="exact" w:after="0"/>
            </w:pPr>
            <w:r/>
            <w:r>
              <w:rPr>
                <w:rFonts w:ascii="Times New Roman" w:hAnsi="Times New Roman"/>
                <w:b w:val="0"/>
                <w:i w:val="0"/>
                <w:sz w:val="22"/>
              </w:rPr>
              <w:t>67,736 (85.4)</w:t>
            </w:r>
          </w:p>
        </w:tc>
      </w:tr>
      <w:tr>
        <w:tc>
          <w:tcPr>
            <w:tcW w:type="dxa" w:w="4703"/>
          </w:tcPr>
          <w:p>
            <w:pPr>
              <w:spacing w:line="260" w:lineRule="exact" w:after="0"/>
            </w:pPr>
            <w:r/>
            <w:r>
              <w:rPr>
                <w:rFonts w:ascii="Times New Roman" w:hAnsi="Times New Roman"/>
                <w:b w:val="0"/>
                <w:i w:val="0"/>
                <w:sz w:val="22"/>
              </w:rPr>
              <w:t>Urgent (non-elective)</w:t>
            </w:r>
          </w:p>
        </w:tc>
        <w:tc>
          <w:tcPr>
            <w:tcW w:type="dxa" w:w="4703"/>
          </w:tcPr>
          <w:p>
            <w:pPr>
              <w:spacing w:line="260" w:lineRule="exact" w:after="0"/>
            </w:pPr>
            <w:r/>
            <w:r>
              <w:rPr>
                <w:rFonts w:ascii="Times New Roman" w:hAnsi="Times New Roman"/>
                <w:b w:val="0"/>
                <w:i w:val="0"/>
                <w:sz w:val="22"/>
              </w:rPr>
              <w:t>11,616 (14.6)</w:t>
            </w:r>
          </w:p>
        </w:tc>
      </w:tr>
      <w:tr>
        <w:tc>
          <w:tcPr>
            <w:tcW w:type="dxa" w:w="4703"/>
          </w:tcPr>
          <w:p>
            <w:pPr>
              <w:spacing w:line="260" w:lineRule="exact" w:after="0"/>
            </w:pPr>
            <w:r/>
            <w:r>
              <w:rPr>
                <w:rFonts w:ascii="Times New Roman" w:hAnsi="Times New Roman"/>
                <w:b/>
                <w:sz w:val="22"/>
              </w:rPr>
              <w:t>Timing</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Weekday</w:t>
            </w:r>
          </w:p>
        </w:tc>
        <w:tc>
          <w:tcPr>
            <w:tcW w:type="dxa" w:w="4703"/>
          </w:tcPr>
          <w:p>
            <w:pPr>
              <w:spacing w:line="260" w:lineRule="exact" w:after="0"/>
            </w:pPr>
            <w:r/>
            <w:r>
              <w:rPr>
                <w:rFonts w:ascii="Times New Roman" w:hAnsi="Times New Roman"/>
                <w:b w:val="0"/>
                <w:i w:val="0"/>
                <w:sz w:val="22"/>
              </w:rPr>
              <w:t>76,255 (96.1)</w:t>
            </w:r>
          </w:p>
        </w:tc>
      </w:tr>
      <w:tr>
        <w:tc>
          <w:tcPr>
            <w:tcW w:type="dxa" w:w="4703"/>
          </w:tcPr>
          <w:p>
            <w:pPr>
              <w:spacing w:line="260" w:lineRule="exact" w:after="0"/>
            </w:pPr>
            <w:r/>
            <w:r>
              <w:rPr>
                <w:rFonts w:ascii="Times New Roman" w:hAnsi="Times New Roman"/>
                <w:b w:val="0"/>
                <w:i w:val="0"/>
                <w:sz w:val="22"/>
              </w:rPr>
              <w:t>Weekend</w:t>
            </w:r>
          </w:p>
        </w:tc>
        <w:tc>
          <w:tcPr>
            <w:tcW w:type="dxa" w:w="4703"/>
          </w:tcPr>
          <w:p>
            <w:pPr>
              <w:spacing w:line="260" w:lineRule="exact" w:after="0"/>
            </w:pPr>
            <w:r/>
            <w:r>
              <w:rPr>
                <w:rFonts w:ascii="Times New Roman" w:hAnsi="Times New Roman"/>
                <w:b w:val="0"/>
                <w:i w:val="0"/>
                <w:sz w:val="22"/>
              </w:rPr>
              <w:t>3,097 (3.9)</w:t>
            </w:r>
          </w:p>
        </w:tc>
      </w:tr>
      <w:tr>
        <w:tc>
          <w:tcPr>
            <w:tcW w:type="dxa" w:w="4703"/>
          </w:tcPr>
          <w:p>
            <w:pPr>
              <w:spacing w:line="260" w:lineRule="exact" w:after="0"/>
            </w:pPr>
            <w:r/>
            <w:r>
              <w:rPr>
                <w:rFonts w:ascii="Times New Roman" w:hAnsi="Times New Roman"/>
                <w:b/>
                <w:sz w:val="22"/>
              </w:rPr>
              <w:t>Cases by year</w:t>
            </w:r>
            <w:r>
              <w:rPr>
                <w:rFonts w:ascii="Times New Roman" w:hAnsi="Times New Roman"/>
                <w:b w:val="0"/>
                <w:i w:val="0"/>
                <w:sz w:val="22"/>
              </w:rPr>
              <w:t>, n</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2022</w:t>
            </w:r>
          </w:p>
        </w:tc>
        <w:tc>
          <w:tcPr>
            <w:tcW w:type="dxa" w:w="4703"/>
          </w:tcPr>
          <w:p>
            <w:pPr>
              <w:spacing w:line="260" w:lineRule="exact" w:after="0"/>
            </w:pPr>
            <w:r/>
            <w:r>
              <w:rPr>
                <w:rFonts w:ascii="Times New Roman" w:hAnsi="Times New Roman"/>
                <w:b w:val="0"/>
                <w:i w:val="0"/>
                <w:sz w:val="22"/>
              </w:rPr>
              <w:t>22,133</w:t>
            </w:r>
          </w:p>
        </w:tc>
      </w:tr>
      <w:tr>
        <w:tc>
          <w:tcPr>
            <w:tcW w:type="dxa" w:w="4703"/>
          </w:tcPr>
          <w:p>
            <w:pPr>
              <w:spacing w:line="260" w:lineRule="exact" w:after="0"/>
            </w:pPr>
            <w:r/>
            <w:r>
              <w:rPr>
                <w:rFonts w:ascii="Times New Roman" w:hAnsi="Times New Roman"/>
                <w:b w:val="0"/>
                <w:i w:val="0"/>
                <w:sz w:val="22"/>
              </w:rPr>
              <w:t>2023</w:t>
            </w:r>
          </w:p>
        </w:tc>
        <w:tc>
          <w:tcPr>
            <w:tcW w:type="dxa" w:w="4703"/>
          </w:tcPr>
          <w:p>
            <w:pPr>
              <w:spacing w:line="260" w:lineRule="exact" w:after="0"/>
            </w:pPr>
            <w:r/>
            <w:r>
              <w:rPr>
                <w:rFonts w:ascii="Times New Roman" w:hAnsi="Times New Roman"/>
                <w:b w:val="0"/>
                <w:i w:val="0"/>
                <w:sz w:val="22"/>
              </w:rPr>
              <w:t>23,575</w:t>
            </w:r>
          </w:p>
        </w:tc>
      </w:tr>
      <w:tr>
        <w:tc>
          <w:tcPr>
            <w:tcW w:type="dxa" w:w="4703"/>
          </w:tcPr>
          <w:p>
            <w:pPr>
              <w:spacing w:line="260" w:lineRule="exact" w:after="0"/>
            </w:pPr>
            <w:r/>
            <w:r>
              <w:rPr>
                <w:rFonts w:ascii="Times New Roman" w:hAnsi="Times New Roman"/>
                <w:b w:val="0"/>
                <w:i w:val="0"/>
                <w:sz w:val="22"/>
              </w:rPr>
              <w:t>2024</w:t>
            </w:r>
          </w:p>
        </w:tc>
        <w:tc>
          <w:tcPr>
            <w:tcW w:type="dxa" w:w="4703"/>
          </w:tcPr>
          <w:p>
            <w:pPr>
              <w:spacing w:line="260" w:lineRule="exact" w:after="0"/>
            </w:pPr>
            <w:r/>
            <w:r>
              <w:rPr>
                <w:rFonts w:ascii="Times New Roman" w:hAnsi="Times New Roman"/>
                <w:b w:val="0"/>
                <w:i w:val="0"/>
                <w:sz w:val="22"/>
              </w:rPr>
              <w:t>23,738</w:t>
            </w:r>
          </w:p>
        </w:tc>
      </w:tr>
      <w:tr>
        <w:tc>
          <w:tcPr>
            <w:tcW w:type="dxa" w:w="4703"/>
          </w:tcPr>
          <w:p>
            <w:pPr>
              <w:spacing w:line="260" w:lineRule="exact" w:after="0"/>
            </w:pPr>
            <w:r/>
            <w:r>
              <w:rPr>
                <w:rFonts w:ascii="Times New Roman" w:hAnsi="Times New Roman"/>
                <w:b w:val="0"/>
                <w:i w:val="0"/>
                <w:sz w:val="22"/>
              </w:rPr>
              <w:t>2025*</w:t>
            </w:r>
          </w:p>
        </w:tc>
        <w:tc>
          <w:tcPr>
            <w:tcW w:type="dxa" w:w="4703"/>
          </w:tcPr>
          <w:p>
            <w:pPr>
              <w:spacing w:line="260" w:lineRule="exact" w:after="0"/>
            </w:pPr>
            <w:r/>
            <w:r>
              <w:rPr>
                <w:rFonts w:ascii="Times New Roman" w:hAnsi="Times New Roman"/>
                <w:b w:val="0"/>
                <w:i w:val="0"/>
                <w:sz w:val="22"/>
              </w:rPr>
              <w:t>9,906</w:t>
            </w:r>
          </w:p>
        </w:tc>
      </w:tr>
    </w:tbl>
    <w:p>
      <w:pPr>
        <w:spacing w:line="120" w:lineRule="exact"/>
      </w:pP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was 197 minutes (Table 2A). Weekday rates were similar (8.8 to 9.9%) but roughly 1.7 times higher on weekends (Saturday 16.8%, Sunday 15.5%), when the elective programme does not run and volume is almost entirely urgent surgery. The overtime rate declined gradually over the study period: 10.0% in 2022, 10.0% in 2023, 9.7% in 2024, and 8.6% in the first five months of 2025 (Table 2B).</w:t>
      </w:r>
    </w:p>
    <w:p>
      <w:pPr>
        <w:spacing w:after="120" w:before="0" w:line="480" w:lineRule="exact"/>
        <w:jc w:val="left"/>
      </w:pPr>
      <w:r>
        <w:rPr>
          <w:rFonts w:ascii="Times New Roman" w:hAnsi="Times New Roman"/>
          <w:b/>
          <w:sz w:val="24"/>
        </w:rPr>
        <w:t>Table 2A.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2B.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spanned nearly an order of magnitude within a single hospital.</w:t>
      </w:r>
    </w:p>
    <w:p>
      <w:pPr>
        <w:spacing w:before="120" w:after="120"/>
        <w:jc w:val="center"/>
      </w:pPr>
      <w:r>
        <w:drawing>
          <wp:inline xmlns:a="http://schemas.openxmlformats.org/drawingml/2006/main" xmlns:pic="http://schemas.openxmlformats.org/drawingml/2006/picture">
            <wp:extent cx="5486400" cy="3681844"/>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486400" cy="3681844"/>
                    </a:xfrm>
                    <a:prstGeom prst="rect"/>
                  </pic:spPr>
                </pic:pic>
              </a:graphicData>
            </a:graphic>
          </wp:inline>
        </w:drawing>
      </w:r>
    </w:p>
    <w:p>
      <w:pPr>
        <w:spacing w:after="120" w:before="0" w:line="480" w:lineRule="exact"/>
        <w:jc w:val="left"/>
      </w:pPr>
      <w:r>
        <w:rPr>
          <w:rFonts w:ascii="Times New Roman" w:hAnsi="Times New Roman"/>
          <w:b w:val="0"/>
          <w:i w:val="0"/>
          <w:sz w:val="24"/>
        </w:rPr>
        <w:t>Most overtime cases ended shortly after the shift boundary. More than half of overtime completions fell in the 16:30 to 17:30 window, immediately after the day-shift handover.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similar in both size and frequency, so the planning system showed no systematic bias: bookings were not consistently too tight or too generous, and no fixed padding factor would correct the schedule. The problem was variability. Two cases booked for the same duration could finish well apart, and that spread, rather than a tendency to under-book, is what pushes a list past its boundary.</w:t>
      </w:r>
    </w:p>
    <w:p>
      <w:pPr>
        <w:spacing w:after="120" w:before="0" w:line="480" w:lineRule="exact"/>
        <w:jc w:val="left"/>
      </w:pPr>
      <w:r>
        <w:rPr>
          <w:rFonts w:ascii="Times New Roman" w:hAnsi="Times New Roman"/>
          <w:b w:val="0"/>
          <w:i w:val="0"/>
          <w:sz w:val="24"/>
        </w:rPr>
        <w:t>We measured this spread with the coefficient of variation (CV), the standard deviation of duration divided by its mean, which places cases of different lengths on a comparable scale. Observed-duration CV was highest for short cases (0.54 for procedures under 30 minutes), lowest for mid-length cases (about 0.35 for 61 to 180 minutes), and intermediate for the longest cases (0.42 for over 180 minutes); short cases are proportionally the most variable because a few extra minutes is a large fraction of a brief booking. The CV of the planning error itself was higher still, reaching 1.84 in the over-180-minute bucket, where the spread of the booking error was nearly twice its own average. The schedule was therefore least able to predict the finishing time of the longest cases. These procedures, mainly complex cardiac and oncology cases,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and ran past the shift boundary at more than twice the elective rate (18.2% versus 8.3%, Table 3A), with heavier tails (P95 69 versus 29 minutes). Because elective cases outnumbered urgent cases nearly six to one, the absolute volume of overtime minutes was still dominated by the elective programme.</w:t>
      </w:r>
    </w:p>
    <w:p>
      <w:pPr>
        <w:spacing w:after="120" w:before="0" w:line="480" w:lineRule="exact"/>
        <w:jc w:val="left"/>
      </w:pPr>
      <w:r>
        <w:rPr>
          <w:rFonts w:ascii="Times New Roman" w:hAnsi="Times New Roman"/>
          <w:b w:val="0"/>
          <w:i w:val="0"/>
          <w:sz w:val="24"/>
        </w:rPr>
        <w:t>To assess whether urgent cases disrupt the elective programme, we counted days on which an urgent case occupied a room during a time window when an elective case had been planned in the same room. Such overlap occurred on 858 of 1,247 observation days (68.8%, Table 3B). On days with overlap, elective cases started later than on days without, by a median of approximately 30 minutes, reaching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3A.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 (urgent)</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3B.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Start-time punctuality.</w:t>
      </w:r>
      <w:r>
        <w:rPr>
          <w:rFonts w:ascii="Times New Roman" w:hAnsi="Times New Roman"/>
          <w:b w:val="0"/>
          <w:i w:val="0"/>
          <w:sz w:val="24"/>
        </w:rPr>
        <w:t xml:space="preserve"> Across all cases and rooms, 67.4% started later than planned, with a mean delay of 74.6 minutes and a median of 28 minutes among late cases. At the room level, late-start rate showed no significant correlation with overtime rate (Spearman rho = −0.29, p = 0.24). The direction was negative: rooms with higher late-start rates tended to have lower overtime rates. OR10 had the lowest late-start rate of all 18 rooms (46.1%) yet the highest overtime rate (32.9%); OR14 had a late-start rate of 78.7% yet the lowest overtime rate (3.5%); OR11 had the highest late-start rate (82.4%) with a mid-range overtime rate (11.7%). Pandit et al. reported a similar disconnect, with R-squared values of 0.04 to 0.08 between start and finish times across more than 7,000 operating lists.</w:t>
      </w:r>
      <w:r>
        <w:rPr>
          <w:rFonts w:ascii="Times New Roman" w:hAnsi="Times New Roman"/>
          <w:sz w:val="24"/>
          <w:vertAlign w:val="superscript"/>
        </w:rPr>
        <w:t>23</w:t>
      </w:r>
      <w:r>
        <w:rPr>
          <w:rFonts w:ascii="Times New Roman" w:hAnsi="Times New Roman"/>
          <w:b w:val="0"/>
          <w:i w:val="0"/>
          <w:sz w:val="24"/>
        </w:rPr>
        <w:t xml:space="preserve"> Start-time punctuality was therefore not associated with where overtime accumulates.</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correlated positively with overtime rate (Spearman rho = 0.89, p &lt; 0.001), but the association was driven largely by OR10, which had both the highest mean idle time (22.6 minutes) and the highest overtime rate (32.9%). Excluding OR10, the pattern did not hold. The higher idle time in OR10 most plausibly reflects preparation demands between complex cardiac cases rather than inefficient turnover, and is better understood as a marker of case-mix complexity than as a scheduling problem.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single-centre analysis of 79,352 cases, overtime was not a diffuse hospital-wide phenomenon. The aggregate rate (9.7%) hid a near ten-fold spread across rooms (3.5 to 32.9%). The factors most visibly associated with the room-level pattern were case-mix complexity and routine urgent-elective overlap; start-time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but the distribution behind it is uneven: OR10 ran overtime in roughly one of every three cases, while OR14 ran 3.5%. A hospital-wide target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Charlesworth and Pandit showed more broadly that standard theatre metrics, including start-time compliance and utilisation, are unreliable in isolation because they ignore list composition and scheduling uncertainty.</w:t>
      </w:r>
      <w:r>
        <w:rPr>
          <w:rFonts w:ascii="Times New Roman" w:hAnsi="Times New Roman"/>
          <w:sz w:val="24"/>
          <w:vertAlign w:val="superscript"/>
        </w:rPr>
        <w:t>29</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(complex cardiac and oncology cases) clustered in the rooms with the highest overtime. This pattern suggests that case-mix complexity, rather than scheduling inefficiency alone, accounts for much of the room-level variation. Using a large operational dataset, Wachtel and Dexter described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making urgent arrivals a routine scheduling factor rather than an exception. The hospital already operates dedicated rooms for urgent cases, yet overlap persists, so protecting the elective programme may require additional scheduling buffers or capacity reallocation rather than reactive rescheduling alone. Parmar et al. proposed a graphical method for identifying when emergency capacity is insufficient from the pattern of delays and utilisation, which could inform such decisions.</w:t>
      </w:r>
      <w:r>
        <w:rPr>
          <w:rFonts w:ascii="Times New Roman" w:hAnsi="Times New Roman"/>
          <w:sz w:val="24"/>
          <w:vertAlign w:val="superscript"/>
        </w:rPr>
        <w:t>30</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We tested a broader version of this hypothesis using the per-room late-start rate across all scheduled cases, not only first cases. Late-start rate and overtime rate were not significantly correlated (Spearman rho = −0.29, p = 0.24): the room with the lowest late-start rate (OR10, 46.1%) had the highest overtime (32.9%), while a room with one of the highest late-start rates (OR14, 78.7%) had the lowest overtime (3.5%). Pandit et al. reported a similar disconnect across more than 7,000 operating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A 9.7% hospital-wide rate hides a near ten-fold spread, and an intervention aimed at the average will miss the rooms that generate most of the overtime. For the highest-overtime rooms, where long complex cases dominate, scheduling systems could assign wider duration margins to procedures with high expected variability rather than applying a uniform padding factor. Urgent-case flow should be treated as a routine scheduling input: overlap occurred on more than two-thirds of observation days, so dedicating additional capacity or buffering the elective programme against predictable disruption is more realistic than treating each urgent arrival as an exception. Start-time compliance, while reasonable to pursue on other grounds, should not be expected to reduce overtime: in this dataset it was unrelated to where overtime accumulated.</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produces the same exposure that other studies have linked to staff fatigue, higher after-hours mortality, and increased complication risk.</w:t>
      </w:r>
      <w:r>
        <w:rPr>
          <w:rFonts w:ascii="Times New Roman" w:hAnsi="Times New Roman"/>
          <w:sz w:val="24"/>
          <w:vertAlign w:val="superscript"/>
        </w:rPr>
        <w:t>2–13</w:t>
      </w:r>
      <w:r>
        <w:rPr>
          <w:rFonts w:ascii="Times New Roman" w:hAnsi="Times New Roman"/>
          <w:b w:val="0"/>
          <w:i w:val="0"/>
          <w:sz w:val="24"/>
        </w:rPr>
        <w:t xml:space="preserve"> Whether those harms are present at this hospital cannot be determined from administrative data alone. Linking room-level overtime to patient and staff outcomes is a necessary next step.</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across hospitals with different staffing models is unknown.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Case-mix complexity and unplanned urgent-case disruption of the elective programme were the most strongly associated factors; start-time punctuality and inter-case idle time were not.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T.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Diemer M, Merkel M, et al. Glossary of perioperative process times and indicators. </w:t>
      </w:r>
      <w:r>
        <w:rPr>
          <w:rFonts w:ascii="Times New Roman" w:hAnsi="Times New Roman"/>
          <w:i/>
          <w:sz w:val="24"/>
        </w:rPr>
        <w:t>Anaesthesist</w:t>
      </w:r>
      <w:r>
        <w:rPr>
          <w:rFonts w:ascii="Times New Roman" w:hAnsi="Times New Roman"/>
          <w:b w:val="0"/>
          <w:i w:val="0"/>
          <w:sz w:val="24"/>
        </w:rPr>
        <w:t xml:space="preserve"> 2020;69(Suppl 1):S5-17.</w:t>
      </w:r>
    </w:p>
    <w:p>
      <w:pPr>
        <w:spacing w:after="60" w:before="0" w:line="480" w:lineRule="exact"/>
        <w:jc w:val="left"/>
      </w:pPr>
      <w:r>
        <w:rPr>
          <w:rFonts w:ascii="Times New Roman" w:hAnsi="Times New Roman"/>
          <w:b w:val="0"/>
          <w:i w:val="0"/>
          <w:sz w:val="24"/>
        </w:rPr>
        <w:t xml:space="preserve">19. Schouten AEM,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surgeon-specific historical data.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after="60" w:before="0" w:line="480" w:lineRule="exact"/>
        <w:jc w:val="left"/>
      </w:pPr>
      <w:r>
        <w:rPr>
          <w:rFonts w:ascii="Times New Roman" w:hAnsi="Times New Roman"/>
          <w:b w:val="0"/>
          <w:i w:val="0"/>
          <w:sz w:val="24"/>
        </w:rPr>
        <w:t xml:space="preserve">28. Meewisse AJG, Gribnau A, Thiessen SE, et al. Effect of time of day on outcomes in elective surgery: a systematic review. </w:t>
      </w:r>
      <w:r>
        <w:rPr>
          <w:rFonts w:ascii="Times New Roman" w:hAnsi="Times New Roman"/>
          <w:i/>
          <w:sz w:val="24"/>
        </w:rPr>
        <w:t>Anaesthesia</w:t>
      </w:r>
      <w:r>
        <w:rPr>
          <w:rFonts w:ascii="Times New Roman" w:hAnsi="Times New Roman"/>
          <w:b w:val="0"/>
          <w:i w:val="0"/>
          <w:sz w:val="24"/>
        </w:rPr>
        <w:t xml:space="preserve"> 2024;79(12):1325-34. DOI: 10.1111/anae.16395.</w:t>
      </w:r>
    </w:p>
    <w:p>
      <w:pPr>
        <w:spacing w:after="60" w:before="0" w:line="480" w:lineRule="exact"/>
        <w:jc w:val="left"/>
      </w:pPr>
      <w:r>
        <w:rPr>
          <w:rFonts w:ascii="Times New Roman" w:hAnsi="Times New Roman"/>
          <w:b w:val="0"/>
          <w:i w:val="0"/>
          <w:sz w:val="24"/>
        </w:rPr>
        <w:t xml:space="preserve">29. Charlesworth M, Pandit JJ. Rational performance metrics for operating theatres, principles of efficiency, and how to achieve it. </w:t>
      </w:r>
      <w:r>
        <w:rPr>
          <w:rFonts w:ascii="Times New Roman" w:hAnsi="Times New Roman"/>
          <w:i/>
          <w:sz w:val="24"/>
        </w:rPr>
        <w:t>Br J Surg</w:t>
      </w:r>
      <w:r>
        <w:rPr>
          <w:rFonts w:ascii="Times New Roman" w:hAnsi="Times New Roman"/>
          <w:b w:val="0"/>
          <w:i w:val="0"/>
          <w:sz w:val="24"/>
        </w:rPr>
        <w:t xml:space="preserve"> 2020;107(2):e63-9. PMID: 31903597.</w:t>
      </w:r>
    </w:p>
    <w:p>
      <w:pPr>
        <w:spacing w:after="60" w:before="0" w:line="480" w:lineRule="exact"/>
        <w:jc w:val="left"/>
      </w:pPr>
      <w:r>
        <w:rPr>
          <w:rFonts w:ascii="Times New Roman" w:hAnsi="Times New Roman"/>
          <w:b w:val="0"/>
          <w:i w:val="0"/>
          <w:sz w:val="24"/>
        </w:rPr>
        <w:t xml:space="preserve">30. Parmar D, Woodman M, Pandit JJ. A graphical assessment of emergency surgical list efficiency to determine operating theatre capacity needs. </w:t>
      </w:r>
      <w:r>
        <w:rPr>
          <w:rFonts w:ascii="Times New Roman" w:hAnsi="Times New Roman"/>
          <w:i/>
          <w:sz w:val="24"/>
        </w:rPr>
        <w:t>Br J Anaesth</w:t>
      </w:r>
      <w:r>
        <w:rPr>
          <w:rFonts w:ascii="Times New Roman" w:hAnsi="Times New Roman"/>
          <w:b w:val="0"/>
          <w:i w:val="0"/>
          <w:sz w:val="24"/>
        </w:rPr>
        <w:t xml:space="preserve"> 2022;128(3):574-83. PMID: 34865827.</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ranked from lowest to highest. Panel B: mean overtime duration per room (minutes), with the hospital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FIGURES</w:t>
      </w:r>
    </w:p>
    <w:p>
      <w:pPr>
        <w:spacing w:after="120" w:before="0" w:line="480" w:lineRule="exact"/>
        <w:jc w:val="left"/>
      </w:pPr>
      <w:r>
        <w:rPr>
          <w:rFonts w:ascii="Times New Roman" w:hAnsi="Times New Roman"/>
          <w:b/>
          <w:sz w:val="24"/>
        </w:rPr>
        <w:t>Supplementary Figure S1.</w:t>
      </w:r>
      <w:r>
        <w:rPr>
          <w:rFonts w:ascii="Times New Roman" w:hAnsi="Times New Roman"/>
          <w:b w:val="0"/>
          <w:i w:val="0"/>
          <w:sz w:val="24"/>
        </w:rPr>
        <w:t xml:space="preserve"> Timing of overtime case completions. Distribution of room-out times for the 7,729 overtime cases. More than half of completions fall in the 16:30 to 17:30 window immediately after the day-shift handover, with a long tail decaying through the evening and overnight.</w:t>
      </w:r>
    </w:p>
    <w:p>
      <w:pPr>
        <w:spacing w:before="120" w:after="120"/>
        <w:jc w:val="center"/>
      </w:pPr>
      <w:r>
        <w:drawing>
          <wp:inline xmlns:a="http://schemas.openxmlformats.org/drawingml/2006/main" xmlns:pic="http://schemas.openxmlformats.org/drawingml/2006/picture">
            <wp:extent cx="5486400" cy="2708476"/>
            <wp:docPr id="2" name="Picture 2"/>
            <wp:cNvGraphicFramePr>
              <a:graphicFrameLocks noChangeAspect="1"/>
            </wp:cNvGraphicFramePr>
            <a:graphic>
              <a:graphicData uri="http://schemas.openxmlformats.org/drawingml/2006/picture">
                <pic:pic>
                  <pic:nvPicPr>
                    <pic:cNvPr id="0" name="FigureS1.png"/>
                    <pic:cNvPicPr/>
                  </pic:nvPicPr>
                  <pic:blipFill>
                    <a:blip r:embed="rId10"/>
                    <a:stretch>
                      <a:fillRect/>
                    </a:stretch>
                  </pic:blipFill>
                  <pic:spPr>
                    <a:xfrm>
                      <a:off x="0" y="0"/>
                      <a:ext cx="5486400" cy="2708476"/>
                    </a:xfrm>
                    <a:prstGeom prst="rect"/>
                  </pic:spPr>
                </pic:pic>
              </a:graphicData>
            </a:graphic>
          </wp:inline>
        </w:drawing>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