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3,033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of 13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reported that 22% of surveyed doctors experienced daily sleep deprivation and 35% said tiredness had impaired their clinical judgement,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pattern suggests that case-mix complexity, rather than scheduling inefficiency alone, accounts for much of the room-level variation. Using a large operational dataset, Wachtel and Dexter described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 9.7% hospital-wide rate hides a near ten-fold spread, and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should be treated as a routine scheduling input: overlap occurred on more than two-thirds of observation days, so dedicating additional capacity or buffering the elective programme against predictable disruption is more realistic than treating each urgent arrival as an exception. Start-time compliance, while reasonable to pursue on other grounds, should not be expected to reduce overtime: in this dataset it was unrelated to where overtime accumulated.</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