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3,033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per minute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[country]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The after-hours surgery literature defines this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of 13 studies found an adjusted odds ratio of 1.16 (95% CI 1.06 to 1.28), graded as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study of 281,717 South Korean patients found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28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Using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[country]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was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207 anaesthesiologists, and 1,276 distinct procedure types. Weekday volume was evenly distributed (17.9 to 20.0% Monday through Friday); weekends accounted for 1.8 to 2.1%. Year-on-year volume grew from 22,133 in 2022 to 23,738 in 2024, with 9,906 recorded through May 2025. The urgency mix was 85.4% elective and 14.6% urgent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2B). On days with overlap, elective cases started later than on days without, by a median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Across all cases and rooms, 67.4% started later than planned, with a mean delay of 74.6 minutes and a median of 28 minutes among late cases. At the room level, late-start rate showed no significant correlation with overtime rate (Spearman rho = −0.29, p = 0.24). The direction was negative: rooms with higher late-start rates tended to have lower overtime rates. OR10 had the lowest late-start rate of all 18 rooms (46.1%) yet the highest overtime rate (32.9%); OR14 had a late-start rate of 78.7% yet the lowest overtime rate (3.5%); OR11 had the highest late-start rate (82.4%) with a mid-range overtime rate (11.7%). Pandit et al. reported a similar disconnect, with R-squared values of 0.04 to 0.08 between start and finish times across more than 7,000 operating lists.</w:t>
      </w:r>
      <w:r>
        <w:rPr>
          <w:rFonts w:ascii="Times New Roman" w:hAnsi="Times New Roman"/>
          <w:sz w:val="24"/>
          <w:vertAlign w:val="superscript"/>
        </w:rPr>
        <w:t>23</w:t>
      </w:r>
      <w:r>
        <w:rPr>
          <w:rFonts w:ascii="Times New Roman" w:hAnsi="Times New Roman"/>
          <w:b w:val="0"/>
          <w:i w:val="0"/>
          <w:sz w:val="24"/>
        </w:rPr>
        <w:t xml:space="preserve"> Start-time punctuality was therefore not associated with where overtime accumulates.</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correlated positively with overtime rate (Spearman rho = 0.89, p &lt; 0.001), but the association was driven largely by OR10, which had both the highest mean idle time (22.6 minutes) and the highest overtime rate (32.9%). Excluding OR10, the pattern did not hold. The higher idle time in OR10 most plausibly reflects preparation demands between complex cardiac cases rather than inefficient turnover, and is better understood as a marker of case-mix complexity than as a scheduling problem.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pattern suggests that case-mix complexity, rather than scheduling inefficiency alone, accounts for much of the room-level variation. Using a large operational dataset, Wachtel and Dexter described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hypothesis using the per-room late-start rate across all scheduled cases, not only first cases. Late-start rate and overtime rate were not significantly correlated (Spearman rho = −0.29, p = 0.24): the room with the lowest late-start rate (OR10, 46.1%) had the highest overtime (32.9%), while a room with one of the highest late-start rates (OR14, 78.7%) had the lowest overtime (3.5%). Pandit et al. reported a similar disconnect across more than 7,000 operating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Case-mix complexity and unplanned urgent-case disruption of the elective programme were the most strongly associated factors; start-time punctuality and inter-case idle time were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higher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28</w:t>
            </w:r>
          </w:p>
        </w:tc>
        <w:tc>
          <w:tcPr>
            <w:tcW w:type="dxa" w:w="1568"/>
          </w:tcPr>
          <w:p>
            <w:pPr>
              <w:spacing w:line="260" w:lineRule="exact" w:after="0"/>
            </w:pPr>
            <w:r/>
            <w:r>
              <w:rPr>
                <w:rFonts w:ascii="Times New Roman" w:hAnsi="Times New Roman"/>
                <w:b w:val="0"/>
                <w:i w:val="0"/>
                <w:sz w:val="22"/>
              </w:rPr>
              <w:t>Meewisse (2024)</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Elective non-cardiac surgery, multiple studies</w:t>
            </w:r>
          </w:p>
        </w:tc>
        <w:tc>
          <w:tcPr>
            <w:tcW w:type="dxa" w:w="1568"/>
          </w:tcPr>
          <w:p>
            <w:pPr>
              <w:spacing w:line="260" w:lineRule="exact" w:after="0"/>
            </w:pPr>
            <w:r/>
            <w:r>
              <w:rPr>
                <w:rFonts w:ascii="Times New Roman" w:hAnsi="Times New Roman"/>
                <w:b w:val="0"/>
                <w:i w:val="0"/>
                <w:sz w:val="22"/>
              </w:rPr>
              <w:t>Evening and night procedures associated with higher mortality and morbidity; low quality of evidence</w:t>
            </w:r>
          </w:p>
        </w:tc>
        <w:tc>
          <w:tcPr>
            <w:tcW w:type="dxa" w:w="1568"/>
          </w:tcPr>
          <w:p>
            <w:pPr>
              <w:spacing w:line="260" w:lineRule="exact" w:after="0"/>
            </w:pPr>
            <w:r/>
            <w:r>
              <w:rPr>
                <w:rFonts w:ascii="Times New Roman" w:hAnsi="Times New Roman"/>
                <w:b w:val="0"/>
                <w:i w:val="0"/>
                <w:sz w:val="22"/>
              </w:rPr>
              <w:t>Strengthens after-hours harm evidence</w:t>
            </w:r>
          </w:p>
        </w:tc>
      </w:tr>
      <w:tr>
        <w:tc>
          <w:tcPr>
            <w:tcW w:type="dxa" w:w="1568"/>
          </w:tcPr>
          <w:p>
            <w:pPr>
              <w:spacing w:line="260" w:lineRule="exact" w:after="0"/>
            </w:pPr>
            <w:r/>
            <w:r>
              <w:rPr>
                <w:rFonts w:ascii="Times New Roman" w:hAnsi="Times New Roman"/>
                <w:b w:val="0"/>
                <w:i w:val="0"/>
                <w:sz w:val="22"/>
              </w:rPr>
              <w:t>29</w:t>
            </w:r>
          </w:p>
        </w:tc>
        <w:tc>
          <w:tcPr>
            <w:tcW w:type="dxa" w:w="1568"/>
          </w:tcPr>
          <w:p>
            <w:pPr>
              <w:spacing w:line="260" w:lineRule="exact" w:after="0"/>
            </w:pPr>
            <w:r/>
            <w:r>
              <w:rPr>
                <w:rFonts w:ascii="Times New Roman" w:hAnsi="Times New Roman"/>
                <w:b w:val="0"/>
                <w:i w:val="0"/>
                <w:sz w:val="22"/>
              </w:rPr>
              <w:t>Charlesworth (2020)</w:t>
            </w:r>
          </w:p>
        </w:tc>
        <w:tc>
          <w:tcPr>
            <w:tcW w:type="dxa" w:w="1568"/>
          </w:tcPr>
          <w:p>
            <w:pPr>
              <w:spacing w:line="260" w:lineRule="exact" w:after="0"/>
            </w:pPr>
            <w:r/>
            <w:r>
              <w:rPr>
                <w:rFonts w:ascii="Times New Roman" w:hAnsi="Times New Roman"/>
                <w:b w:val="0"/>
                <w:i w:val="0"/>
                <w:sz w:val="22"/>
              </w:rPr>
              <w:t>Methodological review</w:t>
            </w:r>
          </w:p>
        </w:tc>
        <w:tc>
          <w:tcPr>
            <w:tcW w:type="dxa" w:w="1568"/>
          </w:tcPr>
          <w:p>
            <w:pPr>
              <w:spacing w:line="260" w:lineRule="exact" w:after="0"/>
            </w:pPr>
            <w:r/>
            <w:r>
              <w:rPr>
                <w:rFonts w:ascii="Times New Roman" w:hAnsi="Times New Roman"/>
                <w:b w:val="0"/>
                <w:i w:val="0"/>
                <w:sz w:val="22"/>
              </w:rPr>
              <w:t>NHS theatre performance metrics</w:t>
            </w:r>
          </w:p>
        </w:tc>
        <w:tc>
          <w:tcPr>
            <w:tcW w:type="dxa" w:w="1568"/>
          </w:tcPr>
          <w:p>
            <w:pPr>
              <w:spacing w:line="260" w:lineRule="exact" w:after="0"/>
            </w:pPr>
            <w:r/>
            <w:r>
              <w:rPr>
                <w:rFonts w:ascii="Times New Roman" w:hAnsi="Times New Roman"/>
                <w:b w:val="0"/>
                <w:i w:val="0"/>
                <w:sz w:val="22"/>
              </w:rPr>
              <w:t>Standard metrics (start time, utilisation) are unreliable in isolation; balanced, list-aware metrics needed</w:t>
            </w:r>
          </w:p>
        </w:tc>
        <w:tc>
          <w:tcPr>
            <w:tcW w:type="dxa" w:w="1568"/>
          </w:tcPr>
          <w:p>
            <w:pPr>
              <w:spacing w:line="260" w:lineRule="exact" w:after="0"/>
            </w:pPr>
            <w:r/>
            <w:r>
              <w:rPr>
                <w:rFonts w:ascii="Times New Roman" w:hAnsi="Times New Roman"/>
                <w:b w:val="0"/>
                <w:i w:val="0"/>
                <w:sz w:val="22"/>
              </w:rPr>
              <w:t>Supports argument against aggregate metrics</w:t>
            </w:r>
          </w:p>
        </w:tc>
      </w:tr>
      <w:tr>
        <w:tc>
          <w:tcPr>
            <w:tcW w:type="dxa" w:w="1568"/>
          </w:tcPr>
          <w:p>
            <w:pPr>
              <w:spacing w:line="260" w:lineRule="exact" w:after="0"/>
            </w:pPr>
            <w:r/>
            <w:r>
              <w:rPr>
                <w:rFonts w:ascii="Times New Roman" w:hAnsi="Times New Roman"/>
                <w:b w:val="0"/>
                <w:i w:val="0"/>
                <w:sz w:val="22"/>
              </w:rPr>
              <w:t>30</w:t>
            </w:r>
          </w:p>
        </w:tc>
        <w:tc>
          <w:tcPr>
            <w:tcW w:type="dxa" w:w="1568"/>
          </w:tcPr>
          <w:p>
            <w:pPr>
              <w:spacing w:line="260" w:lineRule="exact" w:after="0"/>
            </w:pPr>
            <w:r/>
            <w:r>
              <w:rPr>
                <w:rFonts w:ascii="Times New Roman" w:hAnsi="Times New Roman"/>
                <w:b w:val="0"/>
                <w:i w:val="0"/>
                <w:sz w:val="22"/>
              </w:rPr>
              <w:t>Parmar (2022)</w:t>
            </w:r>
          </w:p>
        </w:tc>
        <w:tc>
          <w:tcPr>
            <w:tcW w:type="dxa" w:w="1568"/>
          </w:tcPr>
          <w:p>
            <w:pPr>
              <w:spacing w:line="260" w:lineRule="exact" w:after="0"/>
            </w:pPr>
            <w:r/>
            <w:r>
              <w:rPr>
                <w:rFonts w:ascii="Times New Roman" w:hAnsi="Times New Roman"/>
                <w:b w:val="0"/>
                <w:i w:val="0"/>
                <w:sz w:val="22"/>
              </w:rPr>
              <w:t>Retrospective observational with graphical method</w:t>
            </w:r>
          </w:p>
        </w:tc>
        <w:tc>
          <w:tcPr>
            <w:tcW w:type="dxa" w:w="1568"/>
          </w:tcPr>
          <w:p>
            <w:pPr>
              <w:spacing w:line="260" w:lineRule="exact" w:after="0"/>
            </w:pPr>
            <w:r/>
            <w:r>
              <w:rPr>
                <w:rFonts w:ascii="Times New Roman" w:hAnsi="Times New Roman"/>
                <w:b w:val="0"/>
                <w:i w:val="0"/>
                <w:sz w:val="22"/>
              </w:rPr>
              <w:t>Emergency surgical lists, UK</w:t>
            </w:r>
          </w:p>
        </w:tc>
        <w:tc>
          <w:tcPr>
            <w:tcW w:type="dxa" w:w="1568"/>
          </w:tcPr>
          <w:p>
            <w:pPr>
              <w:spacing w:line="260" w:lineRule="exact" w:after="0"/>
            </w:pPr>
            <w:r/>
            <w:r>
              <w:rPr>
                <w:rFonts w:ascii="Times New Roman" w:hAnsi="Times New Roman"/>
                <w:b w:val="0"/>
                <w:i w:val="0"/>
                <w:sz w:val="22"/>
              </w:rPr>
              <w:t>Proposes a method for identifying insufficient emergency capacity from delay and utilisation patterns</w:t>
            </w:r>
          </w:p>
        </w:tc>
        <w:tc>
          <w:tcPr>
            <w:tcW w:type="dxa" w:w="1568"/>
          </w:tcPr>
          <w:p>
            <w:pPr>
              <w:spacing w:line="260" w:lineRule="exact" w:after="0"/>
            </w:pPr>
            <w:r/>
            <w:r>
              <w:rPr>
                <w:rFonts w:ascii="Times New Roman" w:hAnsi="Times New Roman"/>
                <w:b w:val="0"/>
                <w:i w:val="0"/>
                <w:sz w:val="22"/>
              </w:rPr>
              <w:t>Supports urgent-elective capacity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