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79,352-case retrospective analysis</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occurs when a surgical case extends past the end of its assigned staffing shift.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2</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At the study hospital, 25 rooms (18 surgical, 7 interventional) are staffed during the 08:00 to 16:30 day shift, with 2 to 3 nurses per room. At 16:30, capacity drops to 8 rooms. At 17:30, it drops to 4. Overnight, a single room remains staffed. A case running past the shift boundary competes for a diminishing set of staffed rooms, covered by different personnel who may not have been present for the start of the case. The nursing handover occurs at the boundary regardless of whether a procedure is in progress.</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programme at a Belgian tertiary hospital to improve OR performance. Phase 1 characterises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urgent-elective interaction,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Nursing staffing runs 2 to 3 per room during the day shift, declining to 8 rooms at 16:30, 4 at 17:30, and 1 overnight.</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The admission mix was 42.3% ambulatory and 57.7% inpatient.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The definition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urgent case was deemed to overlap with an elective case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All analyses are descriptive; we did not fit causal or inferential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urgent-elective overlap per day and per room,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after-hours at more than twice the elective rate (18.2% versus 8.3%, Table 2),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Urgent-elective overlap in the same room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best punctuality (46.1% late) yet the worst overtime (32.9%). OR14 had the second-worst punctuality (78.7% late) yet the lowest overtime (3.5%). OR11 had the worst punctuality (82.4% late) yet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tardiness grows as cumulative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programme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Our data provide preliminary indications that this relationship may not hold at the room level. The room with the best start-time punctuality had the worst overtime;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First-case-on-time-start may be a useful discipline marker, but these data suggest it should not be assumed to reduce overtime without supporting evidence from the local context.</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we document exposes both staff and patients to known risks. As reviewed in the Introduction, overtime and long shifts are associated with burnout, reduced care quality, and intent to leave,</w:t>
      </w:r>
      <w:r>
        <w:rPr>
          <w:rFonts w:ascii="Times New Roman" w:hAnsi="Times New Roman"/>
          <w:sz w:val="24"/>
          <w:vertAlign w:val="superscript"/>
        </w:rPr>
        <w:t>2,3,4,5</w:t>
      </w:r>
      <w:r>
        <w:rPr>
          <w:rFonts w:ascii="Times New Roman" w:hAnsi="Times New Roman"/>
          <w:b w:val="0"/>
          <w:i w:val="0"/>
          <w:sz w:val="24"/>
        </w:rPr>
        <w:t xml:space="preserve"> and after-hours surgery carries elevated mortality risk, although the effect size is contested.</w:t>
      </w:r>
      <w:r>
        <w:rPr>
          <w:rFonts w:ascii="Times New Roman" w:hAnsi="Times New Roman"/>
          <w:sz w:val="24"/>
          <w:vertAlign w:val="superscript"/>
        </w:rPr>
        <w:t>7,8,9</w:t>
      </w:r>
      <w:r>
        <w:rPr>
          <w:rFonts w:ascii="Times New Roman" w:hAnsi="Times New Roman"/>
          <w:b w:val="0"/>
          <w:i w:val="0"/>
          <w:sz w:val="24"/>
        </w:rPr>
        <w:t xml:space="preserve"> At a hospital where 25 rooms drop to 8, then 4, then 1, each case past the shift boundary lands in a setting with fewer staff and more handovers. Room-level monitoring is the necessary first step; Phase 2 of this programme will test whether the overtime patterns we describe are linked to patient outcomes in this cohort.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programme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