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 duration overruns, shift displacement, urgent-elective interaction, and first-case punctuality —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utilisation,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ran 22.3 minutes shorter than planned. We report these figures descriptively; the data do not let us determine whether displacement was a cause of, or a response to, delays elsewhere in the day.</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The within-hospital spread was wider than the spread across the hospital network as a whole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programme from this disruption — through dedicated urgent rooms or scheduling buffers —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theatre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 it remains a reasonable discipline marker — but in this dataset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programme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